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500696</w:t>
      </w:r>
      <w:bookmarkEnd w:id="2"/>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impacts on requirements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7.21.2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overflowPunct/>
              <w:spacing w:after="0"/>
              <w:jc w:val="both"/>
              <w:textAlignment w:val="auto"/>
              <w:rPr>
                <w:bCs/>
                <w:sz w:val="20"/>
                <w:szCs w:val="20"/>
                <w:lang w:val="en-US"/>
              </w:rPr>
            </w:pPr>
            <w:r>
              <w:rPr>
                <w:rFonts w:eastAsia="Calibri"/>
                <w:bCs/>
                <w:sz w:val="20"/>
                <w:szCs w:val="20"/>
                <w:lang w:val="en-US"/>
              </w:rPr>
              <w:t>Study and evaluate potential benefits and gains of AI/ML aided mobility for network triggered L3-based handover, considering the following aspects:</w:t>
            </w:r>
          </w:p>
          <w:p>
            <w:pPr>
              <w:widowControl w:val="0"/>
              <w:numPr>
                <w:ilvl w:val="0"/>
                <w:numId w:val="4"/>
              </w:numPr>
              <w:overflowPunct/>
              <w:autoSpaceDE/>
              <w:autoSpaceDN/>
              <w:adjustRightInd/>
              <w:spacing w:after="0"/>
              <w:jc w:val="both"/>
              <w:textAlignment w:val="auto"/>
              <w:rPr>
                <w:bCs/>
                <w:sz w:val="20"/>
                <w:szCs w:val="20"/>
                <w:lang w:val="en-US"/>
              </w:rPr>
            </w:pPr>
            <w:r>
              <w:rPr>
                <w:rFonts w:eastAsia="Calibri"/>
                <w:bCs/>
                <w:sz w:val="20"/>
                <w:szCs w:val="20"/>
                <w:lang w:val="en-US"/>
              </w:rPr>
              <w:t xml:space="preserve">AI/ML based RRM measurement and event prediction, </w:t>
            </w:r>
          </w:p>
          <w:p>
            <w:pPr>
              <w:widowControl w:val="0"/>
              <w:numPr>
                <w:ilvl w:val="1"/>
                <w:numId w:val="4"/>
              </w:numPr>
              <w:overflowPunct/>
              <w:autoSpaceDE/>
              <w:autoSpaceDN/>
              <w:adjustRightInd/>
              <w:spacing w:after="0"/>
              <w:jc w:val="both"/>
              <w:textAlignment w:val="auto"/>
              <w:rPr>
                <w:rFonts w:eastAsia="等线"/>
                <w:bCs/>
                <w:sz w:val="20"/>
                <w:szCs w:val="20"/>
                <w:lang w:val="en-US"/>
              </w:rPr>
            </w:pPr>
            <w:r>
              <w:rPr>
                <w:rFonts w:eastAsia="Calibri"/>
                <w:bCs/>
                <w:sz w:val="20"/>
                <w:szCs w:val="20"/>
                <w:lang w:val="en-US"/>
              </w:rPr>
              <w:t>Cell-level measurement prediction including intra and inter-frequency (UE sided and NW sided model) [RAN2]</w:t>
            </w:r>
          </w:p>
          <w:p>
            <w:pPr>
              <w:widowControl w:val="0"/>
              <w:numPr>
                <w:ilvl w:val="2"/>
                <w:numId w:val="4"/>
              </w:numPr>
              <w:overflowPunct/>
              <w:autoSpaceDE/>
              <w:autoSpaceDN/>
              <w:adjustRightInd/>
              <w:spacing w:after="0"/>
              <w:jc w:val="both"/>
              <w:textAlignment w:val="auto"/>
              <w:rPr>
                <w:rFonts w:eastAsia="等线"/>
                <w:bCs/>
                <w:sz w:val="20"/>
                <w:szCs w:val="20"/>
                <w:lang w:val="en-US"/>
              </w:rPr>
            </w:pPr>
            <w:r>
              <w:rPr>
                <w:rFonts w:eastAsia="Calibri"/>
                <w:bCs/>
                <w:sz w:val="20"/>
                <w:szCs w:val="20"/>
                <w:lang w:val="en-US"/>
              </w:rPr>
              <w:t>Inter-cell Beam-level measurement prediction for L3 Mobility (UE sided and NW sided model) [RAN2]</w:t>
            </w:r>
          </w:p>
          <w:p>
            <w:pPr>
              <w:widowControl w:val="0"/>
              <w:numPr>
                <w:ilvl w:val="1"/>
                <w:numId w:val="4"/>
              </w:numPr>
              <w:overflowPunct/>
              <w:autoSpaceDE/>
              <w:autoSpaceDN/>
              <w:adjustRightInd/>
              <w:spacing w:after="0"/>
              <w:jc w:val="both"/>
              <w:textAlignment w:val="auto"/>
              <w:rPr>
                <w:bCs/>
                <w:sz w:val="20"/>
                <w:szCs w:val="20"/>
                <w:lang w:val="en-US"/>
              </w:rPr>
            </w:pPr>
            <w:r>
              <w:rPr>
                <w:rFonts w:eastAsia="Calibri"/>
                <w:bCs/>
                <w:sz w:val="20"/>
                <w:szCs w:val="20"/>
                <w:lang w:val="en-US"/>
              </w:rPr>
              <w:t>HO failure/RLF prediction (UE sided model) [RAN2]</w:t>
            </w:r>
          </w:p>
          <w:p>
            <w:pPr>
              <w:widowControl w:val="0"/>
              <w:numPr>
                <w:ilvl w:val="1"/>
                <w:numId w:val="4"/>
              </w:numPr>
              <w:overflowPunct/>
              <w:autoSpaceDE/>
              <w:autoSpaceDN/>
              <w:adjustRightInd/>
              <w:spacing w:after="0"/>
              <w:jc w:val="both"/>
              <w:textAlignment w:val="auto"/>
              <w:rPr>
                <w:bCs/>
                <w:sz w:val="20"/>
                <w:szCs w:val="20"/>
                <w:lang w:val="en-US"/>
              </w:rPr>
            </w:pPr>
            <w:r>
              <w:rPr>
                <w:rFonts w:eastAsia="Calibri"/>
                <w:bCs/>
                <w:sz w:val="20"/>
                <w:szCs w:val="20"/>
                <w:lang w:val="en-US"/>
              </w:rPr>
              <w:t>Measurement events prediction (UE sided model) [RAN2]</w:t>
            </w:r>
          </w:p>
          <w:p>
            <w:pPr>
              <w:widowControl w:val="0"/>
              <w:numPr>
                <w:ilvl w:val="0"/>
                <w:numId w:val="4"/>
              </w:numPr>
              <w:overflowPunct/>
              <w:autoSpaceDE/>
              <w:autoSpaceDN/>
              <w:adjustRightInd/>
              <w:spacing w:after="0"/>
              <w:jc w:val="both"/>
              <w:textAlignment w:val="auto"/>
              <w:rPr>
                <w:bCs/>
                <w:sz w:val="20"/>
                <w:szCs w:val="20"/>
                <w:lang w:val="en-US"/>
              </w:rPr>
            </w:pPr>
            <w:r>
              <w:rPr>
                <w:bCs/>
                <w:sz w:val="20"/>
                <w:szCs w:val="20"/>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0"/>
                <w:szCs w:val="20"/>
                <w:lang w:val="en-US"/>
              </w:rPr>
            </w:pPr>
          </w:p>
          <w:p>
            <w:pPr>
              <w:widowControl w:val="0"/>
              <w:numPr>
                <w:ilvl w:val="0"/>
                <w:numId w:val="4"/>
              </w:numPr>
              <w:overflowPunct/>
              <w:autoSpaceDE/>
              <w:autoSpaceDN/>
              <w:adjustRightInd/>
              <w:spacing w:after="0"/>
              <w:jc w:val="both"/>
              <w:textAlignment w:val="auto"/>
              <w:rPr>
                <w:bCs/>
                <w:sz w:val="20"/>
                <w:szCs w:val="20"/>
              </w:rPr>
            </w:pPr>
            <w:r>
              <w:rPr>
                <w:rFonts w:eastAsia="等线"/>
                <w:bCs/>
                <w:sz w:val="20"/>
                <w:szCs w:val="20"/>
              </w:rPr>
              <w:t xml:space="preserve">The evaluation of the AI/ML aided mobility benefits should consider </w:t>
            </w:r>
            <w:r>
              <w:rPr>
                <w:bCs/>
                <w:sz w:val="20"/>
                <w:szCs w:val="20"/>
              </w:rPr>
              <w:t>HO performance KPIs (e.g., Ping-pong HO, HOF/RLF,</w:t>
            </w:r>
            <w:r>
              <w:rPr>
                <w:rFonts w:hint="eastAsia"/>
                <w:bCs/>
                <w:sz w:val="20"/>
                <w:szCs w:val="20"/>
              </w:rPr>
              <w:t xml:space="preserve"> </w:t>
            </w:r>
            <w:r>
              <w:rPr>
                <w:bCs/>
                <w:sz w:val="20"/>
                <w:szCs w:val="20"/>
              </w:rPr>
              <w:t>Time of stay, Handover interruption, prediction accuracy, and measurement reduction) etc.) and complexity tradeoffs [RAN2]</w:t>
            </w:r>
          </w:p>
          <w:p>
            <w:pPr>
              <w:widowControl w:val="0"/>
              <w:numPr>
                <w:ilvl w:val="1"/>
                <w:numId w:val="4"/>
              </w:numPr>
              <w:overflowPunct/>
              <w:autoSpaceDE/>
              <w:autoSpaceDN/>
              <w:adjustRightInd/>
              <w:spacing w:after="0"/>
              <w:jc w:val="both"/>
              <w:textAlignment w:val="auto"/>
              <w:rPr>
                <w:bCs/>
                <w:sz w:val="20"/>
                <w:szCs w:val="20"/>
              </w:rPr>
            </w:pPr>
            <w:r>
              <w:rPr>
                <w:rFonts w:hint="eastAsia"/>
                <w:bCs/>
                <w:sz w:val="20"/>
                <w:szCs w:val="20"/>
              </w:rPr>
              <w:t>N</w:t>
            </w:r>
            <w:r>
              <w:rPr>
                <w:bCs/>
                <w:sz w:val="20"/>
                <w:szCs w:val="20"/>
              </w:rPr>
              <w:t>OTE: Simulation assumption and methodology can leverage TR 38.901, 38.843 and 36.839. And leave the detail discussion to RAN2</w:t>
            </w:r>
          </w:p>
          <w:p>
            <w:pPr>
              <w:widowControl w:val="0"/>
              <w:numPr>
                <w:ilvl w:val="0"/>
                <w:numId w:val="4"/>
              </w:numPr>
              <w:overflowPunct/>
              <w:autoSpaceDE/>
              <w:autoSpaceDN/>
              <w:adjustRightInd/>
              <w:spacing w:after="0"/>
              <w:jc w:val="both"/>
              <w:textAlignment w:val="auto"/>
              <w:rPr>
                <w:bCs/>
                <w:sz w:val="20"/>
                <w:szCs w:val="20"/>
              </w:rPr>
            </w:pPr>
            <w:r>
              <w:rPr>
                <w:bCs/>
                <w:sz w:val="20"/>
                <w:szCs w:val="20"/>
              </w:rPr>
              <w:t xml:space="preserve">Potential AI mobility specific enhancement should be based on the Rel19 AI/ML-air interface WID general framework (e.g. LCM, performance monitoring etc) [RAN2]  </w:t>
            </w:r>
          </w:p>
          <w:p>
            <w:pPr>
              <w:widowControl w:val="0"/>
              <w:numPr>
                <w:ilvl w:val="1"/>
                <w:numId w:val="4"/>
              </w:numPr>
              <w:overflowPunct/>
              <w:autoSpaceDE/>
              <w:autoSpaceDN/>
              <w:adjustRightInd/>
              <w:spacing w:after="0"/>
              <w:jc w:val="both"/>
              <w:textAlignment w:val="auto"/>
              <w:rPr>
                <w:bCs/>
                <w:sz w:val="20"/>
                <w:szCs w:val="20"/>
              </w:rPr>
            </w:pPr>
            <w:r>
              <w:rPr>
                <w:bCs/>
                <w:sz w:val="20"/>
                <w:szCs w:val="20"/>
              </w:rPr>
              <w:t xml:space="preserve">NOTE: This would only be treated after sufficient progress is made in the Rel-19 AI/ML air interface WID </w:t>
            </w:r>
          </w:p>
          <w:p>
            <w:pPr>
              <w:widowControl w:val="0"/>
              <w:numPr>
                <w:ilvl w:val="0"/>
                <w:numId w:val="4"/>
              </w:numPr>
              <w:overflowPunct/>
              <w:autoSpaceDE/>
              <w:autoSpaceDN/>
              <w:adjustRightInd/>
              <w:spacing w:after="0"/>
              <w:ind w:hanging="357"/>
              <w:jc w:val="both"/>
              <w:textAlignment w:val="auto"/>
              <w:rPr>
                <w:bCs/>
                <w:sz w:val="20"/>
                <w:szCs w:val="20"/>
              </w:rPr>
            </w:pPr>
            <w:r>
              <w:rPr>
                <w:bCs/>
                <w:sz w:val="20"/>
                <w:szCs w:val="20"/>
              </w:rPr>
              <w:t xml:space="preserve">Potential specification impacts of </w:t>
            </w:r>
            <w:r>
              <w:rPr>
                <w:rFonts w:eastAsia="Calibri"/>
                <w:bCs/>
                <w:sz w:val="20"/>
                <w:szCs w:val="20"/>
                <w:lang w:val="en-US"/>
              </w:rPr>
              <w:t>AI/ML aided mobility [RAN2]</w:t>
            </w:r>
          </w:p>
          <w:p>
            <w:pPr>
              <w:widowControl w:val="0"/>
              <w:numPr>
                <w:ilvl w:val="0"/>
                <w:numId w:val="4"/>
              </w:numPr>
              <w:overflowPunct/>
              <w:autoSpaceDE/>
              <w:autoSpaceDN/>
              <w:adjustRightInd/>
              <w:spacing w:after="0"/>
              <w:ind w:hanging="357"/>
              <w:jc w:val="both"/>
              <w:textAlignment w:val="auto"/>
              <w:rPr>
                <w:bCs/>
                <w:sz w:val="20"/>
                <w:szCs w:val="20"/>
                <w:highlight w:val="green"/>
              </w:rPr>
            </w:pPr>
            <w:bookmarkStart w:id="0" w:name="_Hlk153472406"/>
            <w:r>
              <w:rPr>
                <w:bCs/>
                <w:sz w:val="20"/>
                <w:szCs w:val="20"/>
                <w:highlight w:val="green"/>
                <w:lang w:eastAsia="zh-CN"/>
              </w:rPr>
              <w:t>Evaluate testability, interoperability,</w:t>
            </w:r>
            <w:bookmarkEnd w:id="0"/>
            <w:r>
              <w:rPr>
                <w:bCs/>
                <w:sz w:val="20"/>
                <w:szCs w:val="20"/>
                <w:highlight w:val="green"/>
                <w:lang w:eastAsia="zh-CN"/>
              </w:rPr>
              <w:t xml:space="preserve"> and </w:t>
            </w:r>
            <w:r>
              <w:rPr>
                <w:bCs/>
                <w:sz w:val="20"/>
                <w:szCs w:val="20"/>
                <w:highlight w:val="green"/>
              </w:rPr>
              <w:t>impacts on RRM requirements and performance</w:t>
            </w:r>
            <w:r>
              <w:rPr>
                <w:bCs/>
                <w:sz w:val="20"/>
                <w:szCs w:val="20"/>
                <w:highlight w:val="green"/>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green"/>
                <w:lang w:val="en-US"/>
              </w:rPr>
            </w:pPr>
            <w:r>
              <w:rPr>
                <w:rFonts w:hint="eastAsia"/>
                <w:bCs/>
                <w:sz w:val="20"/>
                <w:szCs w:val="20"/>
                <w:highlight w:val="green"/>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green"/>
                <w:lang w:val="en-US"/>
              </w:rPr>
            </w:pPr>
            <w:r>
              <w:rPr>
                <w:rFonts w:hint="eastAsia"/>
                <w:bCs/>
                <w:sz w:val="20"/>
                <w:szCs w:val="20"/>
                <w:highlight w:val="green"/>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green"/>
                <w:lang w:val="en-US"/>
              </w:rPr>
            </w:pPr>
            <w:r>
              <w:rPr>
                <w:rFonts w:hint="eastAsia"/>
                <w:bCs/>
                <w:sz w:val="20"/>
                <w:szCs w:val="20"/>
                <w:highlight w:val="green"/>
                <w:lang w:val="en-US"/>
              </w:rPr>
              <w:t>N</w:t>
            </w:r>
            <w:r>
              <w:rPr>
                <w:bCs/>
                <w:sz w:val="20"/>
                <w:szCs w:val="20"/>
                <w:highlight w:val="green"/>
                <w:lang w:val="en-US"/>
              </w:rPr>
              <w:t>OTE</w:t>
            </w:r>
            <w:r>
              <w:rPr>
                <w:rFonts w:hint="eastAsia"/>
                <w:bCs/>
                <w:sz w:val="20"/>
                <w:szCs w:val="20"/>
                <w:highlight w:val="green"/>
                <w:lang w:val="en-US"/>
              </w:rPr>
              <w:t xml:space="preserve"> </w:t>
            </w:r>
            <w:r>
              <w:rPr>
                <w:bCs/>
                <w:sz w:val="20"/>
                <w:szCs w:val="20"/>
                <w:highlight w:val="green"/>
                <w:lang w:val="en-US"/>
              </w:rPr>
              <w:t>4</w:t>
            </w:r>
            <w:r>
              <w:rPr>
                <w:rFonts w:hint="eastAsia"/>
                <w:bCs/>
                <w:sz w:val="20"/>
                <w:szCs w:val="20"/>
                <w:highlight w:val="green"/>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green"/>
                <w:lang w:val="en-US"/>
              </w:rPr>
            </w:pPr>
            <w:r>
              <w:rPr>
                <w:rFonts w:hint="eastAsia"/>
                <w:bCs/>
                <w:sz w:val="20"/>
                <w:szCs w:val="20"/>
                <w:highlight w:val="green"/>
                <w:lang w:val="en-US"/>
              </w:rPr>
              <w:t>N</w:t>
            </w:r>
            <w:r>
              <w:rPr>
                <w:bCs/>
                <w:sz w:val="20"/>
                <w:szCs w:val="20"/>
                <w:highlight w:val="green"/>
                <w:lang w:val="en-US"/>
              </w:rPr>
              <w:t>OTE</w:t>
            </w:r>
            <w:r>
              <w:rPr>
                <w:rFonts w:hint="eastAsia"/>
                <w:bCs/>
                <w:sz w:val="20"/>
                <w:szCs w:val="20"/>
                <w:highlight w:val="green"/>
                <w:lang w:val="en-US"/>
              </w:rPr>
              <w:t xml:space="preserve"> </w:t>
            </w:r>
            <w:r>
              <w:rPr>
                <w:bCs/>
                <w:sz w:val="20"/>
                <w:szCs w:val="20"/>
                <w:highlight w:val="green"/>
                <w:lang w:val="en-US"/>
              </w:rPr>
              <w:t>5</w:t>
            </w:r>
            <w:r>
              <w:rPr>
                <w:rFonts w:hint="eastAsia"/>
                <w:bCs/>
                <w:sz w:val="20"/>
                <w:szCs w:val="20"/>
                <w:highlight w:val="green"/>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 xml:space="preserve">In previous meeting, we discussed the priorities of different use cases and have reached consensus that RAN4 to start the discussion with RRM measurement prediction use-case [2]. For measurement event prediction use-case and RLF use-case, more progress is needed from RAN2, and RAN4 to only start the discussion of Measurement event prediction use-case and RLF use-case if sufficient progress in RAN2.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b/>
                <w:bCs/>
                <w:u w:val="single"/>
                <w:lang w:val="en-US"/>
              </w:rPr>
            </w:pPr>
            <w:r>
              <w:rPr>
                <w:rFonts w:hint="eastAsia" w:eastAsia="宋体"/>
                <w:b/>
                <w:bCs/>
                <w:u w:val="single"/>
                <w:lang w:val="en-US" w:eastAsia="zh-CN"/>
              </w:rPr>
              <w:t>RAN4#112bis</w:t>
            </w:r>
            <w:r>
              <w:rPr>
                <w:b/>
                <w:bCs/>
                <w:u w:val="single"/>
                <w:lang w:val="en-US"/>
              </w:rPr>
              <w:t>: Priorities of different use cases</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RAN4 to start the discussion with RRM measurement prediction use-case from RAN4 #112bis meeting.</w:t>
            </w:r>
          </w:p>
          <w:p>
            <w:pPr>
              <w:spacing w:after="120"/>
              <w:rPr>
                <w:color w:val="000000" w:themeColor="text1"/>
                <w:szCs w:val="24"/>
                <w:lang w:eastAsia="zh-CN"/>
                <w14:textFill>
                  <w14:solidFill>
                    <w14:schemeClr w14:val="tx1"/>
                  </w14:solidFill>
                </w14:textFill>
              </w:rPr>
            </w:pP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RAN4 to only start the discussion of Measurement event prediction use-case and</w:t>
            </w:r>
            <w:r>
              <w:rPr>
                <w:bCs/>
                <w:szCs w:val="21"/>
                <w:highlight w:val="green"/>
              </w:rPr>
              <w:t xml:space="preserve"> RLF use-case</w:t>
            </w:r>
            <w:r>
              <w:rPr>
                <w:szCs w:val="21"/>
                <w:highlight w:val="green"/>
              </w:rPr>
              <w:t xml:space="preserve"> if sufficient progress in RAN2.</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he earliest time to start the discussion for Measurement event prediction use-case is RAN4#114 meeting (Feb 2025).</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 xml:space="preserve">he earliest time to start the discussion for </w:t>
            </w:r>
            <w:r>
              <w:rPr>
                <w:bCs/>
                <w:szCs w:val="21"/>
                <w:highlight w:val="green"/>
              </w:rPr>
              <w:t xml:space="preserve">RLF use-case is </w:t>
            </w:r>
            <w:r>
              <w:rPr>
                <w:szCs w:val="21"/>
                <w:highlight w:val="green"/>
              </w:rPr>
              <w:t>from RAN4#114bis meeting (Apr 2025).</w:t>
            </w:r>
          </w:p>
          <w:p>
            <w:pPr>
              <w:pStyle w:val="57"/>
              <w:numPr>
                <w:ilvl w:val="-1"/>
                <w:numId w:val="0"/>
              </w:numPr>
              <w:ind w:left="0" w:firstLine="0"/>
            </w:pPr>
          </w:p>
        </w:tc>
      </w:tr>
    </w:tbl>
    <w:p>
      <w:pPr>
        <w:spacing w:after="157" w:afterLines="50"/>
        <w:rPr>
          <w:rFonts w:hint="default"/>
          <w:iCs/>
          <w:lang w:val="en-US" w:eastAsia="zh-CN"/>
        </w:rPr>
      </w:pPr>
      <w:r>
        <w:rPr>
          <w:rFonts w:hint="eastAsia"/>
          <w:iCs/>
          <w:lang w:val="en-US" w:eastAsia="zh-CN"/>
        </w:rPr>
        <w:t>RAN2 has discussed measurement event prediction use-case many times and reached some agreements. To our knowledge, RAN2 focused on discussing simulation assumptions based on measurement event prediction in previous meetings and plans to provide simulation results in this meeting. The progress of RAN2 is replicated as follows.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b/>
                <w:bCs/>
                <w:u w:val="single"/>
                <w:lang w:val="en-US"/>
              </w:rPr>
            </w:pPr>
            <w:r>
              <w:rPr>
                <w:rFonts w:hint="eastAsia" w:eastAsia="宋体"/>
                <w:b/>
                <w:bCs/>
                <w:u w:val="single"/>
                <w:lang w:val="en-US" w:eastAsia="zh-CN"/>
              </w:rPr>
              <w:t>RAN2#127bis</w:t>
            </w:r>
          </w:p>
          <w:p>
            <w:pPr>
              <w:pStyle w:val="57"/>
              <w:numPr>
                <w:ilvl w:val="-1"/>
                <w:numId w:val="0"/>
              </w:numPr>
              <w:ind w:left="0" w:firstLine="0"/>
              <w:rPr>
                <w:rFonts w:hint="eastAsia"/>
              </w:rPr>
            </w:pPr>
            <w:r>
              <w:rPr>
                <w:rFonts w:hint="eastAsia"/>
              </w:rPr>
              <w:t>Agreements</w:t>
            </w:r>
          </w:p>
          <w:p>
            <w:pPr>
              <w:pStyle w:val="57"/>
              <w:numPr>
                <w:ilvl w:val="0"/>
                <w:numId w:val="6"/>
              </w:numPr>
              <w:ind w:left="420" w:hanging="420"/>
              <w:rPr>
                <w:rFonts w:hint="default" w:ascii="Arial" w:hAnsi="Arial" w:cs="Arial"/>
                <w:b/>
                <w:bCs/>
              </w:rPr>
            </w:pPr>
            <w:r>
              <w:rPr>
                <w:rFonts w:hint="default" w:ascii="Arial" w:hAnsi="Arial" w:cs="Arial"/>
                <w:b/>
                <w:bCs/>
              </w:rPr>
              <w:t xml:space="preserve">Measurement event prediction simulations will at least focus on intra-frequency FR2, case A, and second study goal (i.e. HO KPI improvement).   FFS what is KPI.  </w:t>
            </w:r>
          </w:p>
          <w:p>
            <w:pPr>
              <w:pStyle w:val="57"/>
              <w:numPr>
                <w:ilvl w:val="0"/>
                <w:numId w:val="6"/>
              </w:numPr>
              <w:ind w:left="420" w:hanging="420"/>
              <w:rPr>
                <w:rFonts w:hint="default" w:ascii="Arial" w:hAnsi="Arial" w:cs="Arial"/>
                <w:b/>
                <w:bCs/>
              </w:rPr>
            </w:pPr>
            <w:r>
              <w:rPr>
                <w:rFonts w:hint="default" w:ascii="Arial" w:hAnsi="Arial" w:cs="Arial"/>
                <w:b/>
                <w:bCs/>
              </w:rPr>
              <w:t xml:space="preserve">Companies can bring simulation results for intra-frequency measurement reduction for FR1 and report what they are doing.  Focus on temporal case B.    </w:t>
            </w:r>
          </w:p>
          <w:p>
            <w:pPr>
              <w:pStyle w:val="57"/>
              <w:numPr>
                <w:ilvl w:val="0"/>
                <w:numId w:val="6"/>
              </w:numPr>
              <w:ind w:left="420" w:hanging="420"/>
              <w:rPr>
                <w:rFonts w:hint="default" w:ascii="Arial" w:hAnsi="Arial" w:cs="Arial"/>
                <w:b/>
                <w:bCs/>
              </w:rPr>
            </w:pPr>
            <w:r>
              <w:rPr>
                <w:rFonts w:hint="default" w:ascii="Arial" w:hAnsi="Arial" w:cs="Arial"/>
                <w:b/>
                <w:bCs/>
              </w:rPr>
              <w:t>Companies will prioritize simulations on indirect method.   Companies can bring simulations on direct method and should report what method is being used.</w:t>
            </w:r>
          </w:p>
          <w:p>
            <w:pPr>
              <w:pStyle w:val="57"/>
              <w:numPr>
                <w:ilvl w:val="0"/>
                <w:numId w:val="6"/>
              </w:numPr>
              <w:ind w:left="420" w:hanging="420"/>
              <w:rPr>
                <w:rFonts w:hint="default" w:ascii="Arial" w:hAnsi="Arial" w:cs="Arial"/>
                <w:b/>
                <w:bCs/>
              </w:rPr>
            </w:pPr>
            <w:r>
              <w:rPr>
                <w:rFonts w:hint="default" w:ascii="Arial" w:hAnsi="Arial" w:cs="Arial"/>
                <w:b/>
                <w:bCs/>
              </w:rPr>
              <w:t>Measurement event prediction results are expected in RAN2#129</w:t>
            </w:r>
          </w:p>
          <w:p>
            <w:pPr>
              <w:pStyle w:val="57"/>
              <w:numPr>
                <w:ilvl w:val="-1"/>
                <w:numId w:val="0"/>
              </w:numPr>
              <w:ind w:left="0" w:firstLine="0"/>
              <w:rPr>
                <w:rFonts w:hint="eastAsia"/>
              </w:rPr>
            </w:pPr>
          </w:p>
          <w:p>
            <w:pPr>
              <w:pStyle w:val="57"/>
              <w:numPr>
                <w:ilvl w:val="-1"/>
                <w:numId w:val="0"/>
              </w:numPr>
              <w:ind w:left="0" w:firstLine="0"/>
              <w:rPr>
                <w:rFonts w:hint="eastAsia"/>
                <w:lang w:eastAsia="ja-JP"/>
              </w:rPr>
            </w:pPr>
            <w:r>
              <w:rPr>
                <w:rFonts w:hint="eastAsia"/>
                <w:lang w:eastAsia="ja-JP"/>
              </w:rPr>
              <w:t>Agreements on simulation assumptions</w:t>
            </w:r>
          </w:p>
          <w:p>
            <w:pPr>
              <w:pStyle w:val="57"/>
              <w:numPr>
                <w:ilvl w:val="0"/>
                <w:numId w:val="6"/>
              </w:numPr>
              <w:ind w:left="420" w:hanging="420"/>
              <w:rPr>
                <w:rFonts w:hint="default" w:ascii="Arial" w:hAnsi="Arial" w:cs="Arial"/>
                <w:b/>
                <w:bCs/>
                <w:highlight w:val="yellow"/>
                <w:lang w:val="en-GB" w:eastAsia="ja-JP"/>
              </w:rPr>
            </w:pPr>
            <w:r>
              <w:rPr>
                <w:rFonts w:hint="default" w:ascii="Arial" w:hAnsi="Arial" w:cs="Arial"/>
                <w:b/>
                <w:bCs/>
                <w:highlight w:val="yellow"/>
                <w:lang w:val="en-GB" w:eastAsia="ja-JP"/>
              </w:rPr>
              <w:t xml:space="preserve">The Simulation assumption of RRM measurement prediction can be reused unless otherwise specified.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Companies can pick and report what they are using for filtering options (similar to RRM prediction)</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Companies will focus on sub-case 2 for measurement event prediction.   Companies can simulate other sub-cases if they wish and report what they are using.  </w:t>
            </w:r>
          </w:p>
          <w:p>
            <w:pPr>
              <w:pStyle w:val="57"/>
              <w:numPr>
                <w:ilvl w:val="0"/>
                <w:numId w:val="6"/>
              </w:numPr>
              <w:ind w:left="420" w:hanging="420"/>
              <w:rPr>
                <w:rFonts w:hint="default" w:ascii="Arial" w:hAnsi="Arial" w:cs="Arial"/>
                <w:b/>
                <w:bCs/>
                <w:lang w:eastAsia="ja-JP"/>
              </w:rPr>
            </w:pPr>
            <w:r>
              <w:rPr>
                <w:rFonts w:hint="default" w:ascii="Arial" w:hAnsi="Arial" w:cs="Arial"/>
                <w:b/>
                <w:bCs/>
                <w:lang w:eastAsia="ja-JP"/>
              </w:rPr>
              <w:t xml:space="preserve">Leave the simulation parameter discussion for email discussion.  Pick only one value for A3.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It is up to company implementation how to model UE behavior after A3 event is trigger.  Focus on intermediate KPIs for this exercise.  System level KPI is FFFs</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For measurement event prediction, traffic is not simulated.</w:t>
            </w:r>
          </w:p>
          <w:p>
            <w:pPr>
              <w:pStyle w:val="57"/>
              <w:numPr>
                <w:ilvl w:val="-1"/>
                <w:numId w:val="0"/>
              </w:numPr>
              <w:ind w:left="0" w:firstLine="0"/>
              <w:rPr>
                <w:rFonts w:hint="eastAsia"/>
              </w:rPr>
            </w:pPr>
          </w:p>
          <w:p>
            <w:pPr>
              <w:pStyle w:val="57"/>
              <w:numPr>
                <w:ilvl w:val="-1"/>
                <w:numId w:val="0"/>
              </w:numPr>
              <w:ind w:left="0" w:firstLine="0"/>
              <w:rPr>
                <w:rFonts w:hint="eastAsia"/>
                <w:lang w:val="en-GB" w:eastAsia="ja-JP"/>
              </w:rPr>
            </w:pPr>
            <w:r>
              <w:rPr>
                <w:rFonts w:hint="eastAsia"/>
                <w:lang w:val="en-GB" w:eastAsia="ja-JP"/>
              </w:rPr>
              <w:t>Agreements on inputs/outputs and KPIs</w:t>
            </w:r>
          </w:p>
          <w:p>
            <w:pPr>
              <w:pStyle w:val="57"/>
              <w:numPr>
                <w:ilvl w:val="0"/>
                <w:numId w:val="6"/>
              </w:numPr>
              <w:ind w:left="420" w:hanging="420"/>
              <w:rPr>
                <w:rFonts w:hint="default" w:ascii="Arial" w:hAnsi="Arial" w:cs="Arial"/>
                <w:b/>
                <w:bCs/>
                <w:highlight w:val="yellow"/>
                <w:lang w:val="en-GB" w:eastAsia="ja-JP"/>
              </w:rPr>
            </w:pPr>
            <w:r>
              <w:rPr>
                <w:rFonts w:hint="default" w:ascii="Arial" w:hAnsi="Arial" w:cs="Arial"/>
                <w:b/>
                <w:bCs/>
                <w:highlight w:val="yellow"/>
                <w:lang w:val="en-GB" w:eastAsia="ja-JP"/>
              </w:rPr>
              <w:t>For indirect measurement event prediction, the intermediate output (i.e., the output of RRM prediction model) is RSRP of serving/neighboring cells.  The final output is the expected occurrence time of a certain measurement event (ex. event A3).</w:t>
            </w:r>
          </w:p>
          <w:p>
            <w:pPr>
              <w:pStyle w:val="57"/>
              <w:numPr>
                <w:ilvl w:val="0"/>
                <w:numId w:val="6"/>
              </w:numPr>
              <w:ind w:left="420" w:hanging="420"/>
              <w:rPr>
                <w:rFonts w:hint="default" w:ascii="Arial" w:hAnsi="Arial" w:cs="Arial"/>
                <w:b/>
                <w:bCs/>
                <w:lang w:val="en-GB" w:eastAsia="ja-JP"/>
              </w:rPr>
            </w:pPr>
            <w:r>
              <w:rPr>
                <w:rFonts w:hint="default" w:ascii="Arial" w:hAnsi="Arial" w:cs="Arial"/>
                <w:b/>
                <w:bCs/>
                <w:highlight w:val="yellow"/>
                <w:lang w:val="en-GB" w:eastAsia="ja-JP"/>
              </w:rPr>
              <w:t>For direct measurement event prediction, the model output is the probability of event occurrence within a time window.</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A3 event prediction should follow legacy rules (i.e. the “predicted” conditions have to persist for the duration of TTT).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As baseline, we will use RLF event prediction KPI:</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for indirect: F1 score.  the following can be reported: RSRP difference, missed event detection, false event detection.  FFS how to define F1 score.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time difference of true time event reporting triggered and predicted time event reporting triggered, true event prediction.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for direct: F1 score.  The following can be reported: missed event detection, false event detection,</w:t>
            </w:r>
          </w:p>
          <w:p>
            <w:pPr>
              <w:pStyle w:val="57"/>
              <w:numPr>
                <w:ilvl w:val="0"/>
                <w:numId w:val="6"/>
              </w:numPr>
              <w:ind w:left="420" w:hanging="420"/>
              <w:rPr>
                <w:rFonts w:hint="eastAsia"/>
                <w:lang w:val="en-GB" w:eastAsia="ja-JP"/>
              </w:rPr>
            </w:pPr>
            <w:r>
              <w:rPr>
                <w:rFonts w:hint="default" w:ascii="Arial" w:hAnsi="Arial" w:cs="Arial"/>
                <w:b/>
                <w:bCs/>
                <w:lang w:val="en-GB" w:eastAsia="ja-JP"/>
              </w:rPr>
              <w:t xml:space="preserve">Continue discussion over email discussion to see if there is a difference. </w:t>
            </w:r>
            <w:r>
              <w:rPr>
                <w:rFonts w:hint="eastAsia"/>
                <w:lang w:val="en-GB" w:eastAsia="ja-JP"/>
              </w:rPr>
              <w:t xml:space="preserve"> </w:t>
            </w:r>
          </w:p>
          <w:p>
            <w:pPr>
              <w:pStyle w:val="57"/>
              <w:numPr>
                <w:ilvl w:val="-1"/>
                <w:numId w:val="0"/>
              </w:numPr>
              <w:ind w:left="0" w:firstLine="0"/>
              <w:rPr>
                <w:rFonts w:hint="eastAsia"/>
              </w:rPr>
            </w:pPr>
          </w:p>
        </w:tc>
      </w:tr>
    </w:tbl>
    <w:p>
      <w:pPr>
        <w:spacing w:beforeLines="0" w:after="157" w:afterLines="50"/>
        <w:rPr>
          <w:rFonts w:hint="eastAsia"/>
          <w:iCs/>
          <w:lang w:val="en-US" w:eastAsia="zh-CN"/>
        </w:rPr>
      </w:pPr>
      <w:r>
        <w:rPr>
          <w:rFonts w:hint="eastAsia"/>
          <w:iCs/>
          <w:lang w:val="en-US" w:eastAsia="zh-CN"/>
        </w:rPr>
        <w:t>Based on RAN2</w:t>
      </w:r>
      <w:r>
        <w:rPr>
          <w:rFonts w:hint="default"/>
          <w:iCs/>
          <w:lang w:val="en-US" w:eastAsia="zh-CN"/>
        </w:rPr>
        <w:t>’</w:t>
      </w:r>
      <w:r>
        <w:rPr>
          <w:rFonts w:hint="eastAsia"/>
          <w:iCs/>
          <w:lang w:val="en-US" w:eastAsia="zh-CN"/>
        </w:rPr>
        <w:t xml:space="preserve">s progress, we perfer RAN4 to discuss both indirect measurement event and direct measurement event prediction. Meanwhile, RAN2 has an agreement that the simulation assumption of RRM measurement prediction can be reused unless otherwise specified, so we can apply the analysis results of the simulation parameters for RRM measurement prediction to measurement event prediction. </w:t>
      </w:r>
    </w:p>
    <w:p>
      <w:pPr>
        <w:spacing w:beforeLines="0" w:after="157" w:afterLines="50"/>
        <w:rPr>
          <w:rFonts w:hint="default"/>
          <w:b/>
          <w:bCs/>
          <w:iCs/>
          <w:lang w:val="en-US" w:eastAsia="zh-CN"/>
        </w:rPr>
      </w:pPr>
      <w:r>
        <w:rPr>
          <w:rFonts w:hint="eastAsia"/>
          <w:b/>
          <w:bCs/>
          <w:iCs/>
          <w:lang w:val="en-US" w:eastAsia="zh-CN"/>
        </w:rPr>
        <w:t xml:space="preserve">Proposal 1: RAN4 should discuss the RRM impact on indirect measurement event prediction and direct measurement event prediction. </w:t>
      </w:r>
    </w:p>
    <w:p>
      <w:pPr>
        <w:spacing w:beforeLines="0" w:after="157" w:afterLines="50"/>
        <w:rPr>
          <w:rFonts w:hint="eastAsia"/>
          <w:iCs/>
          <w:lang w:val="en-US" w:eastAsia="zh-CN"/>
        </w:rPr>
      </w:pPr>
      <w:r>
        <w:rPr>
          <w:rFonts w:hint="eastAsia"/>
          <w:b/>
          <w:bCs/>
          <w:iCs/>
          <w:lang w:val="en-US" w:eastAsia="zh-CN"/>
        </w:rPr>
        <w:t>Proposal 2: Measurement error should be considered into measurement event prediction, which is similar as RRM measurement prediction.</w:t>
      </w:r>
    </w:p>
    <w:p>
      <w:pPr>
        <w:spacing w:before="0" w:beforeLines="0" w:after="157" w:afterLines="50"/>
        <w:rPr>
          <w:rFonts w:hint="default"/>
          <w:iCs/>
          <w:lang w:val="en-US" w:eastAsia="zh-CN"/>
        </w:rPr>
      </w:pPr>
      <w:r>
        <w:rPr>
          <w:rFonts w:hint="eastAsia"/>
          <w:iCs/>
          <w:lang w:val="en-US" w:eastAsia="zh-CN"/>
        </w:rPr>
        <w:t>In our understanding, the current focus should continue to be on RRM measurement prediction, and we provide our views on RRM impact on RRM measurement prediction use-case in the follow.</w:t>
      </w:r>
    </w:p>
    <w:p>
      <w:pPr>
        <w:spacing w:before="0" w:beforeLines="0" w:after="157" w:afterLines="50"/>
        <w:rPr>
          <w:rFonts w:hint="eastAsia"/>
          <w:iCs/>
          <w:lang w:val="en-US" w:eastAsia="zh-CN"/>
        </w:rPr>
      </w:pPr>
      <w:r>
        <w:rPr>
          <w:rFonts w:hint="eastAsia"/>
          <w:iCs/>
          <w:lang w:val="en-US" w:eastAsia="zh-CN"/>
        </w:rPr>
        <w:t xml:space="preserve">In R18 AI/ML for air, there were </w:t>
      </w:r>
      <w:r>
        <w:rPr>
          <w:rFonts w:hint="eastAsia" w:eastAsia="宋体"/>
          <w:color w:val="auto"/>
          <w:sz w:val="20"/>
          <w:szCs w:val="20"/>
          <w:highlight w:val="none"/>
          <w:lang w:val="en-US" w:eastAsia="zh-CN"/>
        </w:rPr>
        <w:t xml:space="preserve">several typical use cases incorporated, including CSI feedback enhancement, beam management enhancement and positioning enhancement. </w:t>
      </w:r>
      <w:r>
        <w:rPr>
          <w:iCs/>
          <w:lang w:eastAsia="zh-CN"/>
        </w:rPr>
        <w:t>Since L3 measurement is based on filtering of L1 measurement, the study of AI/ML for air can be leveraged for mobility purpose</w:t>
      </w:r>
      <w:r>
        <w:rPr>
          <w:rFonts w:hint="eastAsia"/>
          <w:iCs/>
          <w:lang w:val="en-US" w:eastAsia="zh-CN"/>
        </w:rPr>
        <w:t xml:space="preserve">. Majority of </w:t>
      </w:r>
      <w:r>
        <w:rPr>
          <w:iCs/>
          <w:lang w:eastAsia="zh-CN"/>
        </w:rPr>
        <w:t xml:space="preserve">the study of </w:t>
      </w:r>
      <w:r>
        <w:rPr>
          <w:rFonts w:hint="eastAsia"/>
          <w:iCs/>
          <w:lang w:val="en-US" w:eastAsia="zh-CN"/>
        </w:rPr>
        <w:t xml:space="preserve">beam management in </w:t>
      </w:r>
      <w:r>
        <w:rPr>
          <w:iCs/>
          <w:lang w:eastAsia="zh-CN"/>
        </w:rPr>
        <w:t>AI/ML for air</w:t>
      </w:r>
      <w:r>
        <w:rPr>
          <w:rFonts w:hint="eastAsia"/>
          <w:iCs/>
          <w:lang w:val="en-US" w:eastAsia="zh-CN"/>
        </w:rPr>
        <w:t xml:space="preserve"> can be reused when we extend L1 beam measurement from serving cell to neighbor cell. </w:t>
      </w:r>
    </w:p>
    <w:p>
      <w:pPr>
        <w:pStyle w:val="57"/>
        <w:spacing w:before="0" w:beforeLines="0" w:after="157" w:after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spacing w:before="157" w:beforeLines="50" w:after="157" w:afterLines="50"/>
        <w:rPr>
          <w:rFonts w:hint="default"/>
          <w:lang w:val="en-US" w:eastAsia="zh-CN"/>
        </w:rPr>
      </w:pPr>
      <w:r>
        <w:rPr>
          <w:rFonts w:hint="eastAsia"/>
          <w:lang w:val="en-US" w:eastAsia="zh-CN"/>
        </w:rPr>
        <w:t xml:space="preserve">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pStyle w:val="57"/>
        <w:spacing w:after="157" w:afterLines="50"/>
        <w:ind w:left="0" w:firstLine="0"/>
        <w:rPr>
          <w:rFonts w:hint="eastAsia" w:eastAsia="宋体"/>
          <w:b/>
          <w:bCs/>
          <w:lang w:val="en-US" w:eastAsia="zh-CN"/>
        </w:rPr>
      </w:pPr>
      <w:r>
        <w:rPr>
          <w:rFonts w:hint="eastAsia" w:eastAsia="宋体"/>
          <w:b w:val="0"/>
          <w:bCs w:val="0"/>
          <w:lang w:val="en-US" w:eastAsia="zh-CN"/>
        </w:rPr>
        <w:t>we noticed that intra cell is mentioned in methodology. It needs to be clarified that intra cell prediction in RAN2 includes two scenarios: serving cell prediction for serving cells and neighbor cell prediction for neighbor cells. Therefore, RAN4 should consider both serving cell and neighbor cell measurment prediction for intra-cell.</w:t>
      </w:r>
    </w:p>
    <w:p>
      <w:pPr>
        <w:spacing w:after="157" w:afterLines="50"/>
        <w:rPr>
          <w:rFonts w:hint="eastAsia"/>
          <w:b w:val="0"/>
          <w:bCs w:val="0"/>
          <w:color w:val="000000" w:themeColor="text1"/>
          <w:lang w:val="en-US" w:eastAsia="zh-CN"/>
          <w14:textFill>
            <w14:solidFill>
              <w14:schemeClr w14:val="tx1"/>
            </w14:solidFill>
          </w14:textFill>
        </w:rPr>
      </w:pPr>
      <w:r>
        <w:rPr>
          <w:rFonts w:hint="eastAsia" w:eastAsia="宋体"/>
          <w:b/>
          <w:bCs/>
          <w:lang w:val="en-US" w:eastAsia="zh-CN"/>
        </w:rPr>
        <w:t>Proposal 3: RAN4 should consider both serving cell and neighbor cell measurment prediction for intra-cell prediction. Specifically, serving cell (input) to predict the serving cell (output) and neigbour cell i (input) to predict the neigbour cell i (output).</w:t>
      </w:r>
    </w:p>
    <w:p>
      <w:pPr>
        <w:spacing w:after="157" w:afterLines="50"/>
        <w:rPr>
          <w:rFonts w:hint="eastAsia"/>
          <w:b/>
          <w:bCs/>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In the pervious meeting, we have reached agreement that define requirement for L3 cell level RSRP prediction, and further dicussion is needed for L1 beam-level and L3 beam-level. In the current test case for delay and accuracy, the results for A1 and C are the same if the filtering is closed in test case. Meanwhile, some company mentioned that L1-RSRP is for beam management and perfers not to consider point A1 in AI mob. It</w:t>
      </w:r>
      <w:r>
        <w:rPr>
          <w:rFonts w:hint="default"/>
          <w:b w:val="0"/>
          <w:bCs w:val="0"/>
          <w:color w:val="000000" w:themeColor="text1"/>
          <w:lang w:val="en-US" w:eastAsia="zh-CN"/>
          <w14:textFill>
            <w14:solidFill>
              <w14:schemeClr w14:val="tx1"/>
            </w14:solidFill>
          </w14:textFill>
        </w:rPr>
        <w:t>’</w:t>
      </w:r>
      <w:r>
        <w:rPr>
          <w:rFonts w:hint="eastAsia"/>
          <w:b w:val="0"/>
          <w:bCs w:val="0"/>
          <w:color w:val="000000" w:themeColor="text1"/>
          <w:lang w:val="en-US" w:eastAsia="zh-CN"/>
          <w14:textFill>
            <w14:solidFill>
              <w14:schemeClr w14:val="tx1"/>
            </w14:solidFill>
          </w14:textFill>
        </w:rPr>
        <w:t xml:space="preserve">s fine for us not to consider point A1. </w:t>
      </w:r>
      <w:r>
        <w:rPr>
          <w:rFonts w:ascii="微软雅黑" w:hAnsi="微软雅黑" w:eastAsia="微软雅黑"/>
          <w:color w:val="0000FF"/>
          <w:sz w:val="19"/>
          <w:szCs w:val="19"/>
          <w:lang w:val="en-US" w:eastAsia="zh-CN"/>
        </w:rPr>
        <w:drawing>
          <wp:inline distT="0" distB="0" distL="0" distR="0">
            <wp:extent cx="5737860"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pPr>
        <w:pStyle w:val="57"/>
        <w:spacing w:before="0" w:beforeLines="0" w:after="157" w:afterLines="50"/>
        <w:ind w:left="0" w:firstLine="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4: Due to L1-RSRP is for beam management, it</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s fine for us not to consider point A1 in AI Mob. </w:t>
      </w:r>
    </w:p>
    <w:p>
      <w:pPr>
        <w:spacing w:before="0" w:beforeLines="0" w:after="157" w:afterLines="50"/>
        <w:ind w:left="0"/>
        <w:rPr>
          <w:rFonts w:hint="eastAsia"/>
          <w:b w:val="0"/>
          <w:bCs w:val="0"/>
          <w:szCs w:val="20"/>
          <w:lang w:val="en-US" w:eastAsia="zh-CN"/>
        </w:rPr>
      </w:pPr>
      <w:r>
        <w:rPr>
          <w:rFonts w:hint="eastAsia"/>
          <w:b w:val="0"/>
          <w:bCs w:val="0"/>
          <w:color w:val="000000" w:themeColor="text1"/>
          <w:lang w:val="en-US" w:eastAsia="zh-CN"/>
          <w14:textFill>
            <w14:solidFill>
              <w14:schemeClr w14:val="tx1"/>
            </w14:solidFill>
          </w14:textFill>
        </w:rPr>
        <w:t xml:space="preserve">As to point E, which is related to beam level measurement prediction, </w:t>
      </w:r>
      <w:r>
        <w:rPr>
          <w:rFonts w:hint="eastAsia"/>
          <w:b w:val="0"/>
          <w:bCs w:val="0"/>
          <w:szCs w:val="20"/>
          <w:lang w:val="en-US" w:eastAsia="zh-CN"/>
        </w:rPr>
        <w:t>we should discuss whether to support beam level measurement prediction in RAN4 first. According to RAN2</w:t>
      </w:r>
      <w:r>
        <w:rPr>
          <w:rFonts w:hint="default"/>
          <w:b w:val="0"/>
          <w:bCs w:val="0"/>
          <w:szCs w:val="20"/>
          <w:lang w:val="en-US" w:eastAsia="zh-CN"/>
        </w:rPr>
        <w:t>’</w:t>
      </w:r>
      <w:r>
        <w:rPr>
          <w:rFonts w:hint="eastAsia"/>
          <w:b w:val="0"/>
          <w:bCs w:val="0"/>
          <w:szCs w:val="20"/>
          <w:lang w:val="en-US" w:eastAsia="zh-CN"/>
        </w:rPr>
        <w:t xml:space="preserve">s agreement, L3 filtered beam level prediction cases are lower priority and companies should focus on FR2-to-FR2 intra-frequency temporal domain prediction caseA (scenario 4). Therefore, RAN4 should deprioritize the beam level measurement prediction. </w:t>
      </w:r>
    </w:p>
    <w:p>
      <w:pPr>
        <w:pStyle w:val="57"/>
        <w:spacing w:before="0" w:beforeLines="0" w:after="157" w:afterLines="50"/>
        <w:ind w:left="0" w:firstLine="0"/>
        <w:rPr>
          <w:rFonts w:hint="eastAsia"/>
          <w:b/>
          <w:bCs/>
          <w:szCs w:val="20"/>
          <w:lang w:val="en-US" w:eastAsia="zh-CN"/>
        </w:rPr>
      </w:pPr>
      <w:r>
        <w:rPr>
          <w:rFonts w:hint="eastAsia"/>
          <w:b/>
          <w:bCs/>
          <w:szCs w:val="20"/>
          <w:lang w:val="en-US" w:eastAsia="zh-CN"/>
        </w:rPr>
        <w:t>Observation1: Both cell level measurement prediction and beam level measurement prediction are within the scope of RRM measurement prediction. And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Lines="0" w:after="157" w:afterLines="50"/>
        <w:ind w:left="0" w:firstLine="0"/>
        <w:rPr>
          <w:rFonts w:hint="eastAsia" w:eastAsia="宋体"/>
          <w:b/>
          <w:bCs/>
          <w:lang w:val="en-US" w:eastAsia="zh-CN"/>
        </w:rPr>
      </w:pPr>
      <w:r>
        <w:rPr>
          <w:rFonts w:hint="eastAsia" w:eastAsia="宋体"/>
          <w:b/>
          <w:bCs/>
          <w:lang w:val="en-US" w:eastAsia="zh-CN"/>
        </w:rPr>
        <w:t>Proposal 5：RAN4 to deprioritize studying the impacts on requirements for L3 beam-level prediction.</w:t>
      </w:r>
    </w:p>
    <w:p>
      <w:pPr>
        <w:pStyle w:val="57"/>
        <w:spacing w:beforeLines="0" w:after="157" w:afterLines="50"/>
        <w:ind w:left="0" w:firstLine="0"/>
        <w:rPr>
          <w:rFonts w:hint="eastAsia" w:eastAsia="宋体"/>
          <w:b/>
          <w:bCs/>
          <w:lang w:val="en-US" w:eastAsia="zh-CN"/>
        </w:rPr>
      </w:pPr>
      <w:r>
        <w:rPr>
          <w:rFonts w:hint="eastAsia" w:eastAsia="宋体"/>
          <w:b/>
          <w:bCs/>
          <w:lang w:val="en-US" w:eastAsia="zh-CN"/>
        </w:rPr>
        <w:t xml:space="preserve">Proposal 6: If </w:t>
      </w:r>
      <w:r>
        <w:rPr>
          <w:rFonts w:hint="eastAsia"/>
          <w:b/>
          <w:bCs/>
        </w:rPr>
        <w:t>L3 filtered beam level prediction cases are lower priority</w:t>
      </w:r>
      <w:r>
        <w:rPr>
          <w:rFonts w:hint="eastAsia" w:eastAsia="宋体"/>
          <w:b/>
          <w:bCs/>
          <w:lang w:val="en-US" w:eastAsia="zh-CN"/>
        </w:rPr>
        <w:t>, the definition of prediction accuracy for point E will correspondingly be given low priority.</w:t>
      </w:r>
    </w:p>
    <w:p>
      <w:pPr>
        <w:pStyle w:val="57"/>
        <w:spacing w:beforeLines="0" w:after="157" w:afterLines="50"/>
        <w:ind w:left="0" w:firstLine="0"/>
        <w:rPr>
          <w:rFonts w:hint="eastAsia" w:eastAsia="宋体"/>
          <w:b w:val="0"/>
          <w:bCs w:val="0"/>
          <w:color w:val="auto"/>
          <w:sz w:val="20"/>
          <w:szCs w:val="2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In the last meeting, we have discuss this issue online and reached consensus blew.</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val="zh-CN" w:eastAsia="zh-CN"/>
              </w:rPr>
            </w:pPr>
            <w:r>
              <w:rPr>
                <w:rFonts w:eastAsia="MS Mincho"/>
                <w:b/>
                <w:bCs/>
                <w:sz w:val="22"/>
                <w:szCs w:val="24"/>
                <w:u w:val="single"/>
                <w:lang w:val="zh-CN" w:eastAsia="zh-CN"/>
              </w:rPr>
              <w:t>Issue 2-1-9</w:t>
            </w:r>
            <w:r>
              <w:rPr>
                <w:rFonts w:eastAsia="MS Mincho"/>
                <w:b/>
                <w:bCs/>
                <w:sz w:val="22"/>
                <w:szCs w:val="24"/>
                <w:u w:val="single"/>
                <w:lang w:eastAsia="zh-CN"/>
              </w:rPr>
              <w:t>a</w:t>
            </w:r>
            <w:r>
              <w:rPr>
                <w:rFonts w:eastAsia="MS Mincho"/>
                <w:b/>
                <w:bCs/>
                <w:sz w:val="22"/>
                <w:szCs w:val="24"/>
                <w:u w:val="single"/>
                <w:lang w:val="zh-CN" w:eastAsia="zh-CN"/>
              </w:rPr>
              <w:t xml:space="preserve">: </w:t>
            </w:r>
            <w:r>
              <w:rPr>
                <w:rFonts w:eastAsia="MS Mincho"/>
                <w:b/>
                <w:bCs/>
                <w:sz w:val="22"/>
                <w:szCs w:val="24"/>
                <w:u w:val="single"/>
                <w:lang w:eastAsia="zh-CN"/>
              </w:rPr>
              <w:t>L3</w:t>
            </w:r>
            <w:r>
              <w:rPr>
                <w:rFonts w:eastAsia="MS Mincho"/>
                <w:b/>
                <w:bCs/>
                <w:sz w:val="22"/>
                <w:szCs w:val="24"/>
                <w:u w:val="single"/>
                <w:lang w:val="zh-CN" w:eastAsia="zh-CN"/>
              </w:rPr>
              <w:t xml:space="preserve"> RSRP prediction accuracy definition</w:t>
            </w:r>
          </w:p>
          <w:p>
            <w:pPr>
              <w:spacing w:after="120"/>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pPr>
              <w:pStyle w:val="28"/>
              <w:numPr>
                <w:ilvl w:val="0"/>
                <w:numId w:val="5"/>
              </w:numPr>
              <w:spacing w:before="120" w:after="120"/>
              <w:ind w:firstLineChars="0"/>
              <w:rPr>
                <w:rFonts w:eastAsia="Yu Mincho"/>
                <w:highlight w:val="green"/>
              </w:rPr>
            </w:pPr>
            <w:r>
              <w:rPr>
                <w:rFonts w:eastAsia="Yu Mincho"/>
                <w:highlight w:val="green"/>
              </w:rPr>
              <w:t>For testing, Absolute L3 Predicted RSRP Accuracy = reported predicted L3-RSRP – ground truth of L3-RSRP</w:t>
            </w:r>
          </w:p>
          <w:p>
            <w:pPr>
              <w:pStyle w:val="28"/>
              <w:numPr>
                <w:ilvl w:val="1"/>
                <w:numId w:val="5"/>
              </w:numPr>
              <w:spacing w:before="120" w:after="120"/>
              <w:ind w:firstLineChars="0"/>
              <w:rPr>
                <w:rFonts w:eastAsia="Yu Mincho"/>
                <w:highlight w:val="green"/>
              </w:rPr>
            </w:pPr>
            <w:r>
              <w:rPr>
                <w:rFonts w:eastAsia="Yu Mincho"/>
                <w:highlight w:val="green"/>
              </w:rPr>
              <w:t>FFS Ground truth definition of L3-RSRP for FR1 and FR2</w:t>
            </w:r>
          </w:p>
          <w:p>
            <w:pPr>
              <w:pStyle w:val="57"/>
              <w:numPr>
                <w:ilvl w:val="-1"/>
                <w:numId w:val="0"/>
              </w:numPr>
              <w:spacing w:before="0" w:beforeLines="0"/>
              <w:ind w:left="0" w:firstLine="0"/>
              <w:rPr>
                <w:rFonts w:hint="default" w:eastAsia="宋体"/>
                <w:lang w:val="en-US" w:eastAsia="zh-CN"/>
              </w:rPr>
            </w:pPr>
          </w:p>
        </w:tc>
      </w:tr>
    </w:tbl>
    <w:p>
      <w:pPr>
        <w:pStyle w:val="57"/>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In this meeting, we should finish the definition on ground truth of L3-RSRP. We have agreement in RAN4#112bis that consider conducted testing as a beseline option for testing in FR1. Based on this, we can use the transmitted power as baseline for the definition on ground truth of L3-RSRP, which is obtained as the legacy way of conducted test. Meanwhile, for FR2, RAN4 to leverage the work from “AI/ML for NR air interface” led by RAN1 and avoid the duplicate study for testability and interoperability. So, we can reuse the definiation of ground truth on R19 AI BM.</w:t>
      </w:r>
    </w:p>
    <w:p>
      <w:pPr>
        <w:pStyle w:val="57"/>
        <w:spacing w:beforeLines="0" w:after="157" w:afterLines="50"/>
        <w:ind w:left="0" w:firstLine="0"/>
        <w:rPr>
          <w:rFonts w:hint="eastAsia" w:eastAsia="宋体"/>
          <w:b/>
          <w:bCs/>
          <w:color w:val="auto"/>
          <w:lang w:val="en-US" w:eastAsia="zh-CN"/>
        </w:rPr>
      </w:pPr>
      <w:r>
        <w:rPr>
          <w:rFonts w:hint="eastAsia" w:eastAsia="宋体"/>
          <w:b/>
          <w:bCs/>
          <w:color w:val="auto"/>
          <w:lang w:val="en-US" w:eastAsia="zh-CN"/>
        </w:rPr>
        <w:t>Proposal 7: For FR1, the transmitted power can be used as baseline for the definition on ground truth of L3-RSRP, which is obtained as the legacy way of conducted test.</w:t>
      </w:r>
    </w:p>
    <w:p>
      <w:pPr>
        <w:pStyle w:val="57"/>
        <w:spacing w:beforeLines="0" w:after="157" w:afterLines="50"/>
        <w:ind w:left="0" w:firstLine="0"/>
        <w:rPr>
          <w:rFonts w:hint="eastAsia" w:eastAsia="宋体"/>
          <w:b/>
          <w:bCs/>
          <w:lang w:val="en-US" w:eastAsia="zh-CN"/>
        </w:rPr>
      </w:pPr>
      <w:r>
        <w:rPr>
          <w:rFonts w:hint="eastAsia" w:eastAsia="宋体"/>
          <w:b/>
          <w:bCs/>
          <w:color w:val="auto"/>
          <w:lang w:val="en-US" w:eastAsia="zh-CN"/>
        </w:rPr>
        <w:t>Proposal 8: For FR2, the definiation of ground truth on R19 AI BM can be reused, that is, ground truth of L3-RSRP is the approximate as the reported RSRP measurement under a certain SNR (the SNR is high enough for sufficient accuracy of reported RSRP).</w:t>
      </w:r>
    </w:p>
    <w:p>
      <w:pPr>
        <w:pStyle w:val="57"/>
        <w:spacing w:before="0" w:beforeLines="0" w:after="157" w:after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be considered as one KPI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Prediction accuracy metric for RRM measurement cell level prediction is defined as “RSRP difference between predicted L3 cell level measurement result and actual L3 cell level measurement result of the same cell” for all RRM sub cases</w:t>
            </w:r>
          </w:p>
          <w:p>
            <w:pPr>
              <w:pStyle w:val="57"/>
              <w:numPr>
                <w:ilvl w:val="-1"/>
                <w:numId w:val="0"/>
              </w:numPr>
              <w:spacing w:before="0" w:beforeLines="0"/>
              <w:ind w:left="0" w:firstLine="0"/>
              <w:rPr>
                <w:rFonts w:hint="default" w:eastAsia="宋体"/>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7"/>
              <w:numPr>
                <w:ilvl w:val="0"/>
                <w:numId w:val="0"/>
              </w:numPr>
              <w:spacing w:before="0" w:beforeLines="0"/>
              <w:ind w:left="200" w:leftChars="10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MRRT= skipped measurement time instances / total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Measurement reduction rate in spatial domain (MRRS):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MRRS = skipped beams to be measured/ total beams to be measured</w:t>
            </w:r>
          </w:p>
          <w:p>
            <w:pPr>
              <w:pStyle w:val="57"/>
              <w:numPr>
                <w:ilvl w:val="-1"/>
                <w:numId w:val="0"/>
              </w:numPr>
              <w:spacing w:before="0" w:beforeLines="0"/>
              <w:ind w:left="0" w:firstLine="0"/>
              <w:rPr>
                <w:rFonts w:hint="default" w:eastAsia="宋体"/>
                <w:lang w:val="en-US" w:eastAsia="zh-CN"/>
              </w:rPr>
            </w:pPr>
          </w:p>
        </w:tc>
      </w:tr>
    </w:tbl>
    <w:p>
      <w:pPr>
        <w:pStyle w:val="57"/>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7"/>
        <w:spacing w:before="0" w:beforeLines="0" w:after="157" w:afterLines="50"/>
        <w:ind w:left="0" w:firstLine="0"/>
        <w:rPr>
          <w:rFonts w:hint="eastAsia" w:eastAsia="宋体"/>
          <w:b/>
          <w:bCs/>
          <w:lang w:val="en-US" w:eastAsia="zh-CN"/>
        </w:rPr>
      </w:pPr>
      <w:r>
        <w:rPr>
          <w:rFonts w:hint="eastAsia" w:eastAsia="宋体"/>
          <w:b/>
          <w:bCs/>
          <w:lang w:val="en-US" w:eastAsia="zh-CN"/>
        </w:rPr>
        <w:t xml:space="preserve">Proposal 9: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spacing w:beforeLines="0" w:after="157" w:afterLines="50"/>
        <w:rPr>
          <w:rFonts w:hint="default" w:eastAsia="宋体"/>
          <w:b w:val="0"/>
          <w:bCs w:val="0"/>
          <w:lang w:val="en-US" w:eastAsia="zh-CN"/>
        </w:rPr>
      </w:pPr>
      <w:r>
        <w:rPr>
          <w:rFonts w:hint="eastAsia" w:eastAsia="宋体"/>
          <w:b w:val="0"/>
          <w:bCs w:val="0"/>
          <w:lang w:val="en-US" w:eastAsia="zh-CN"/>
        </w:rPr>
        <w:t xml:space="preserve">For RRM measurement prediction, we should discuss scenario 2, 3, 4 for cell level measurement prediction. </w:t>
      </w:r>
      <w:r>
        <w:rPr>
          <w:rFonts w:eastAsia="Yu Mincho"/>
        </w:rPr>
        <w:t>For intra-frequency temporal domain prediction</w:t>
      </w:r>
      <w:r>
        <w:rPr>
          <w:rFonts w:hint="eastAsia" w:eastAsia="宋体"/>
          <w:lang w:val="en-US" w:eastAsia="zh-CN"/>
        </w:rPr>
        <w:t>, both caseA and caseB</w:t>
      </w:r>
      <w:r>
        <w:rPr>
          <w:rFonts w:hint="eastAsia" w:eastAsia="宋体"/>
          <w:b w:val="0"/>
          <w:bCs w:val="0"/>
          <w:lang w:val="en-US" w:eastAsia="zh-CN"/>
        </w:rPr>
        <w:t>, it can observed that</w:t>
      </w:r>
      <w:r>
        <w:rPr>
          <w:rFonts w:eastAsia="Yu Mincho"/>
        </w:rPr>
        <w:t xml:space="preserve"> UE will skip some measurement occasions, which means that only subset of measurement occasions are measured so that SMTC and/or MGRP cannot be directly used in the measurement delay requirements as legacy</w:t>
      </w:r>
      <w:r>
        <w:rPr>
          <w:rFonts w:hint="eastAsia" w:eastAsia="宋体"/>
          <w:lang w:val="en-US" w:eastAsia="zh-CN"/>
        </w:rPr>
        <w:t xml:space="preserve">.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A:</w:t>
            </w:r>
          </w:p>
          <w:p>
            <w:pPr>
              <w:spacing w:before="120" w:beforeLines="50"/>
            </w:pPr>
            <w:r>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pPr>
              <w:spacing w:before="120" w:beforeLines="50"/>
              <w:jc w:val="center"/>
            </w:pPr>
            <w:r>
              <w:object>
                <v:shape id="_x0000_i1025" o:spt="75" type="#_x0000_t75" style="height:118.75pt;width:239.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spacing w:before="120" w:beforeLines="50"/>
              <w:jc w:val="center"/>
            </w:pPr>
            <w:r>
              <w:rPr>
                <w:rFonts w:hint="eastAsia"/>
              </w:rPr>
              <w:t>F</w:t>
            </w:r>
            <w:r>
              <w:t>igure 3 Example of temporal domain case A</w:t>
            </w:r>
          </w:p>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spacing w:before="120" w:beforeLines="50"/>
              <w:jc w:val="center"/>
            </w:pPr>
            <w:r>
              <w:object>
                <v:shape id="_x0000_i1026" o:spt="75" type="#_x0000_t75" style="height:93.85pt;width:264.8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spacing w:before="120" w:beforeLines="50"/>
              <w:jc w:val="center"/>
            </w:pPr>
            <w:r>
              <w:rPr>
                <w:rFonts w:hint="eastAsia"/>
              </w:rPr>
              <w:t>F</w:t>
            </w:r>
            <w:r>
              <w:t>igure 4: Example of temporal domain case B (Note)</w:t>
            </w:r>
          </w:p>
          <w:p>
            <w:pPr>
              <w:spacing w:before="120" w:beforeLines="50"/>
              <w:rPr>
                <w:i/>
                <w:iCs/>
              </w:rPr>
            </w:pPr>
            <w:r>
              <w:rPr>
                <w:i/>
                <w:iCs/>
              </w:rPr>
              <w:t>Note: Other patterns are not excluded</w:t>
            </w:r>
          </w:p>
          <w:p>
            <w:pPr>
              <w:pStyle w:val="57"/>
              <w:numPr>
                <w:ilvl w:val="-1"/>
                <w:numId w:val="0"/>
              </w:numPr>
              <w:ind w:left="0" w:firstLine="0"/>
            </w:pPr>
          </w:p>
        </w:tc>
      </w:tr>
    </w:tbl>
    <w:p>
      <w:pPr>
        <w:spacing w:after="157" w:afterLines="50"/>
        <w:rPr>
          <w:rFonts w:hint="default" w:eastAsia="宋体"/>
          <w:lang w:val="en-US" w:eastAsia="zh-CN"/>
        </w:rPr>
      </w:pP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default" w:eastAsia="宋体"/>
          <w:b/>
          <w:bCs/>
          <w:lang w:val="en-US" w:eastAsia="zh-CN"/>
        </w:rPr>
      </w:pPr>
      <w:r>
        <w:rPr>
          <w:rFonts w:hint="eastAsia" w:eastAsia="宋体"/>
          <w:b/>
          <w:bCs/>
          <w:lang w:val="en-US" w:eastAsia="zh-CN"/>
        </w:rPr>
        <w:t>Observation 2: Compared with legacy measurement delay requirements, number of actual measured samples and frequency layers are different, which will impact measurement requirements.</w:t>
      </w:r>
    </w:p>
    <w:p>
      <w:pPr>
        <w:spacing w:after="157" w:afterLines="50"/>
        <w:rPr>
          <w:rFonts w:eastAsia="Yu Mincho"/>
        </w:rPr>
      </w:pPr>
      <w:r>
        <w:rPr>
          <w:rFonts w:hint="eastAsia" w:eastAsia="宋体"/>
          <w:b/>
          <w:bCs/>
          <w:lang w:val="en-US" w:eastAsia="zh-CN"/>
        </w:rPr>
        <w:t>Proposal 10: RAN4 should discuss whether/how to update measurement delay requirements for AI/ML mobility.</w:t>
      </w:r>
    </w:p>
    <w:p>
      <w:pPr>
        <w:spacing w:after="157" w:afterLines="50"/>
        <w:rPr>
          <w:rFonts w:hint="eastAsia" w:eastAsia="宋体"/>
          <w:lang w:val="en-US" w:eastAsia="zh-CN"/>
        </w:rPr>
      </w:pPr>
      <w:r>
        <w:rPr>
          <w:rFonts w:hint="eastAsia" w:eastAsia="宋体"/>
          <w:lang w:val="en-US" w:eastAsia="zh-CN"/>
        </w:rPr>
        <w:t xml:space="preserve">As to the measurement error, many companies proposed this issue last meeting and we have initial discussed online. Finially, there is no consensus on how to handle the measurement error.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pacing w:after="120"/>
              <w:rPr>
                <w:highlight w:val="green"/>
              </w:rPr>
            </w:pPr>
            <w:r>
              <w:rPr>
                <w:b/>
                <w:sz w:val="21"/>
                <w:szCs w:val="21"/>
                <w:u w:val="single"/>
              </w:rPr>
              <w:t>Issue 2-1-3: Impacts of measurement error on prediction accuracy</w:t>
            </w:r>
          </w:p>
          <w:p>
            <w:pPr>
              <w:pStyle w:val="28"/>
              <w:numPr>
                <w:ilvl w:val="0"/>
                <w:numId w:val="5"/>
              </w:numPr>
              <w:overflowPunct/>
              <w:autoSpaceDE/>
              <w:autoSpaceDN/>
              <w:adjustRightInd/>
              <w:snapToGrid w:val="0"/>
              <w:spacing w:after="120"/>
              <w:ind w:left="720" w:firstLineChars="0"/>
              <w:textAlignment w:val="auto"/>
              <w:rPr>
                <w:szCs w:val="21"/>
              </w:rPr>
            </w:pPr>
            <w:r>
              <w:rPr>
                <w:szCs w:val="21"/>
              </w:rPr>
              <w:t>Candidate options:</w:t>
            </w:r>
          </w:p>
          <w:p>
            <w:pPr>
              <w:pStyle w:val="28"/>
              <w:numPr>
                <w:ilvl w:val="1"/>
                <w:numId w:val="5"/>
              </w:numPr>
              <w:overflowPunct/>
              <w:autoSpaceDE/>
              <w:autoSpaceDN/>
              <w:adjustRightInd/>
              <w:snapToGrid w:val="0"/>
              <w:spacing w:after="120"/>
              <w:ind w:firstLineChars="0"/>
              <w:textAlignment w:val="auto"/>
              <w:rPr>
                <w:szCs w:val="21"/>
              </w:rPr>
            </w:pPr>
            <w:r>
              <w:rPr>
                <w:color w:val="000000" w:themeColor="text1"/>
                <w:szCs w:val="21"/>
                <w14:textFill>
                  <w14:solidFill>
                    <w14:schemeClr w14:val="tx1"/>
                  </w14:solidFill>
                </w14:textFill>
              </w:rPr>
              <w:t xml:space="preserve">Option 1: </w:t>
            </w:r>
            <w:r>
              <w:rPr>
                <w:rFonts w:eastAsia="Yu Mincho"/>
                <w:szCs w:val="21"/>
              </w:rPr>
              <w:t xml:space="preserve">RAN4 should study the impact of measurement error on the prediction accuracy during </w:t>
            </w:r>
            <w:r>
              <w:rPr>
                <w:rFonts w:eastAsia="Yu Mincho"/>
                <w:szCs w:val="21"/>
                <w:highlight w:val="yellow"/>
              </w:rPr>
              <w:t xml:space="preserve">SI phase </w:t>
            </w:r>
          </w:p>
          <w:p>
            <w:pPr>
              <w:pStyle w:val="28"/>
              <w:numPr>
                <w:ilvl w:val="1"/>
                <w:numId w:val="5"/>
              </w:numPr>
              <w:overflowPunct/>
              <w:autoSpaceDE/>
              <w:autoSpaceDN/>
              <w:adjustRightInd/>
              <w:snapToGrid w:val="0"/>
              <w:spacing w:after="120"/>
              <w:ind w:firstLineChars="0"/>
              <w:textAlignment w:val="auto"/>
              <w:rPr>
                <w:szCs w:val="21"/>
              </w:rPr>
            </w:pPr>
            <w:r>
              <w:rPr>
                <w:szCs w:val="21"/>
              </w:rPr>
              <w:t xml:space="preserve">Option 2: </w:t>
            </w:r>
            <w:r>
              <w:rPr>
                <w:rFonts w:eastAsia="Yu Mincho"/>
                <w:szCs w:val="21"/>
              </w:rPr>
              <w:t>RAN4 to not study the impact of measurement error on the prediction accuracy during SI phase</w:t>
            </w:r>
          </w:p>
          <w:p>
            <w:pPr>
              <w:pStyle w:val="28"/>
              <w:numPr>
                <w:ilvl w:val="1"/>
                <w:numId w:val="5"/>
              </w:numPr>
              <w:overflowPunct/>
              <w:autoSpaceDE/>
              <w:autoSpaceDN/>
              <w:adjustRightInd/>
              <w:snapToGrid w:val="0"/>
              <w:spacing w:after="120"/>
              <w:ind w:firstLineChars="0"/>
              <w:textAlignment w:val="auto"/>
              <w:rPr>
                <w:szCs w:val="21"/>
              </w:rPr>
            </w:pPr>
            <w:r>
              <w:rPr>
                <w:color w:val="000000" w:themeColor="text1"/>
                <w:szCs w:val="21"/>
                <w14:textFill>
                  <w14:solidFill>
                    <w14:schemeClr w14:val="tx1"/>
                  </w14:solidFill>
                </w14:textFill>
              </w:rPr>
              <w:t xml:space="preserve">Option 3: </w:t>
            </w:r>
            <w:r>
              <w:rPr>
                <w:rFonts w:eastAsia="Yu Mincho"/>
                <w:szCs w:val="21"/>
              </w:rPr>
              <w:t>RAN4 should wait for evaluation outcomes of RAN2 AI/ML for mobility (option3) and RAN4 AI/ML for beam management (option 4)</w:t>
            </w:r>
          </w:p>
          <w:p>
            <w:pPr>
              <w:pStyle w:val="28"/>
              <w:numPr>
                <w:ilvl w:val="1"/>
                <w:numId w:val="5"/>
              </w:numPr>
              <w:overflowPunct/>
              <w:autoSpaceDE/>
              <w:autoSpaceDN/>
              <w:adjustRightInd/>
              <w:snapToGrid w:val="0"/>
              <w:spacing w:after="120"/>
              <w:ind w:firstLineChars="0"/>
              <w:textAlignment w:val="auto"/>
              <w:rPr>
                <w:szCs w:val="21"/>
                <w:highlight w:val="green"/>
              </w:rPr>
            </w:pPr>
            <w:r>
              <w:rPr>
                <w:color w:val="000000" w:themeColor="text1"/>
                <w:szCs w:val="21"/>
                <w:highlight w:val="green"/>
                <w14:textFill>
                  <w14:solidFill>
                    <w14:schemeClr w14:val="tx1"/>
                  </w14:solidFill>
                </w14:textFill>
              </w:rPr>
              <w:t>Option 4:</w:t>
            </w:r>
            <w:r>
              <w:rPr>
                <w:szCs w:val="21"/>
                <w:highlight w:val="green"/>
              </w:rPr>
              <w:t xml:space="preserve"> RAN4 to provide input to RAN2 to consider impact of error on measurement used for prediction on the accuracy of the predicted measurement/event.</w:t>
            </w:r>
          </w:p>
          <w:p>
            <w:pPr>
              <w:spacing w:after="120"/>
              <w:rPr>
                <w:lang w:eastAsia="zh-CN"/>
              </w:rPr>
            </w:pPr>
          </w:p>
          <w:p>
            <w:pPr>
              <w:spacing w:after="120"/>
              <w:rPr>
                <w:b/>
                <w:bCs/>
                <w:lang w:eastAsia="zh-CN"/>
              </w:rPr>
            </w:pPr>
            <w:r>
              <w:rPr>
                <w:b/>
                <w:bCs/>
                <w:lang w:eastAsia="zh-CN"/>
              </w:rPr>
              <w:t>Way Forward:</w:t>
            </w:r>
          </w:p>
          <w:p>
            <w:pPr>
              <w:spacing w:after="120"/>
              <w:rPr>
                <w:lang w:eastAsia="zh-CN"/>
              </w:rPr>
            </w:pPr>
            <w:r>
              <w:rPr>
                <w:lang w:eastAsia="zh-CN"/>
              </w:rPr>
              <w:t>Many companies are supporting Option 4. Companies are encouraged to bring proposals on what input RAN4 should provide to RAN2 to consider impact of error on measurements used for prediction on the accuracy of the predicted measurement/event.</w:t>
            </w:r>
          </w:p>
          <w:p>
            <w:pPr>
              <w:pStyle w:val="57"/>
              <w:numPr>
                <w:ilvl w:val="-1"/>
                <w:numId w:val="0"/>
              </w:numPr>
              <w:ind w:left="0" w:firstLine="0"/>
            </w:pPr>
          </w:p>
        </w:tc>
      </w:tr>
    </w:tbl>
    <w:p>
      <w:pPr>
        <w:spacing w:after="157" w:afterLines="50"/>
        <w:rPr>
          <w:rFonts w:hint="eastAsia" w:eastAsia="宋体"/>
          <w:lang w:val="en-US" w:eastAsia="zh-CN"/>
        </w:rPr>
      </w:pPr>
      <w:r>
        <w:rPr>
          <w:rFonts w:hint="eastAsia" w:eastAsia="宋体"/>
          <w:lang w:val="en-US" w:eastAsia="zh-CN"/>
        </w:rPr>
        <w:t xml:space="preserve">In our view, this is entirely a RAN4 issue, and even if LS is sent to RAN2 to consider measurement errors in the simulation, RAN2 still requires a lot of assistance from RAN4. So for this issue, we prefer to do the evaluation in RAN4. In addition, the R19 AI/ML BM is currently discussing </w:t>
      </w:r>
      <w:r>
        <w:t>the impact of measurement error on the prediction accuracy requirements</w:t>
      </w:r>
      <w:r>
        <w:rPr>
          <w:rFonts w:hint="eastAsia" w:eastAsia="宋体"/>
          <w:lang w:val="en-US" w:eastAsia="zh-CN"/>
        </w:rPr>
        <w:t xml:space="preserve"> in RAN4, so it is reasonable to complete them in RAN4. </w:t>
      </w:r>
    </w:p>
    <w:p>
      <w:pPr>
        <w:spacing w:after="157" w:afterLines="50"/>
        <w:rPr>
          <w:rFonts w:hint="eastAsia" w:eastAsia="宋体"/>
          <w:lang w:val="en-US" w:eastAsia="zh-CN"/>
        </w:rPr>
      </w:pPr>
      <w:r>
        <w:t>Similar as AI/ML BM, when defining the prediction accuracy requirements, the impact of measurement error should be considered. The methodology shall be similar too.</w:t>
      </w:r>
      <w:r>
        <w:rPr>
          <w:rFonts w:hint="eastAsia" w:eastAsia="宋体"/>
          <w:lang w:val="en-US" w:eastAsia="zh-CN"/>
        </w:rPr>
        <w:t xml:space="preserve"> In the current discussion of AI BM, BB errors under different signal-to-noise ratios are obtained through link level simulation, and then added to system level simulation to obtain testdata with added errors. RF errors are then added to evaluate the impact of measurement errors on system simulation. To avoid redundant discussions, we can directly utilize the simulation results of AI BM.</w:t>
      </w:r>
    </w:p>
    <w:p>
      <w:pPr>
        <w:spacing w:after="157" w:afterLines="50"/>
        <w:rPr>
          <w:rFonts w:hint="eastAsia" w:eastAsia="宋体"/>
          <w:lang w:val="en-US" w:eastAsia="zh-CN"/>
        </w:rPr>
      </w:pPr>
      <w:r>
        <w:rPr>
          <w:rFonts w:hint="eastAsia" w:eastAsia="宋体"/>
          <w:b/>
          <w:bCs/>
          <w:lang w:val="en-US" w:eastAsia="zh-CN"/>
        </w:rPr>
        <w:t xml:space="preserve">Proposal 11: </w:t>
      </w:r>
      <w:r>
        <w:rPr>
          <w:b/>
          <w:bCs/>
        </w:rPr>
        <w:t>The methodology</w:t>
      </w:r>
      <w:r>
        <w:rPr>
          <w:rFonts w:hint="eastAsia" w:eastAsia="宋体"/>
          <w:b/>
          <w:bCs/>
          <w:lang w:val="en-US" w:eastAsia="zh-CN"/>
        </w:rPr>
        <w:t xml:space="preserve"> of adding measurement error to AI mob</w:t>
      </w:r>
      <w:r>
        <w:rPr>
          <w:b/>
          <w:bCs/>
        </w:rPr>
        <w:t xml:space="preserve"> sh</w:t>
      </w:r>
      <w:r>
        <w:rPr>
          <w:rFonts w:hint="eastAsia" w:eastAsia="宋体"/>
          <w:b/>
          <w:bCs/>
          <w:lang w:val="en-US" w:eastAsia="zh-CN"/>
        </w:rPr>
        <w:t>ould</w:t>
      </w:r>
      <w:r>
        <w:rPr>
          <w:b/>
          <w:bCs/>
        </w:rPr>
        <w:t xml:space="preserve"> be similar to</w:t>
      </w:r>
      <w:r>
        <w:rPr>
          <w:rFonts w:hint="eastAsia" w:eastAsia="宋体"/>
          <w:b/>
          <w:bCs/>
          <w:lang w:val="en-US" w:eastAsia="zh-CN"/>
        </w:rPr>
        <w:t xml:space="preserve"> AI BM</w:t>
      </w:r>
      <w:r>
        <w:rPr>
          <w:b/>
          <w:bCs/>
        </w:rPr>
        <w:t>.</w:t>
      </w:r>
      <w:r>
        <w:rPr>
          <w:rFonts w:hint="eastAsia" w:eastAsia="宋体"/>
          <w:b/>
          <w:bCs/>
          <w:lang w:val="en-US" w:eastAsia="zh-CN"/>
        </w:rPr>
        <w:t xml:space="preserve"> To avoid redundant discussions, the simulation results of AI BM in RAN4 should be utilized as much as possible.</w:t>
      </w:r>
    </w:p>
    <w:p>
      <w:pPr>
        <w:spacing w:after="157" w:afterLines="50"/>
        <w:rPr>
          <w:rFonts w:hint="default" w:eastAsia="宋体"/>
          <w:lang w:val="en-US" w:eastAsia="zh-CN"/>
        </w:rPr>
      </w:pPr>
      <w:r>
        <w:rPr>
          <w:rFonts w:hint="eastAsia" w:eastAsia="宋体"/>
          <w:lang w:val="en-US" w:eastAsia="zh-CN"/>
        </w:rPr>
        <w:t>The preliminary results obtained by adding the BB error generated in the current AI BM to the AI Mob simulation model of RAN2 are summarized as follows.</w:t>
      </w:r>
    </w:p>
    <w:p>
      <w:pPr>
        <w:rPr>
          <w:rFonts w:hint="default" w:eastAsia="宋体"/>
          <w:lang w:val="en-US" w:eastAsia="zh-CN"/>
        </w:rPr>
      </w:pPr>
      <w:r>
        <w:rPr>
          <w:rFonts w:hint="eastAsia" w:eastAsia="宋体"/>
          <w:lang w:val="en-US" w:eastAsia="zh-CN"/>
        </w:rPr>
        <w:t xml:space="preserve">                                 Table 1-1. Simulation result on FR1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917"/>
        <w:gridCol w:w="2181"/>
        <w:gridCol w:w="1560"/>
        <w:gridCol w:w="170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restart"/>
          </w:tcPr>
          <w:p>
            <w:pPr>
              <w:spacing w:after="0" w:line="240" w:lineRule="auto"/>
              <w:rPr>
                <w:color w:val="auto"/>
                <w:highlight w:val="none"/>
                <w:vertAlign w:val="baseline"/>
              </w:rPr>
            </w:pPr>
            <w:r>
              <w:rPr>
                <w:rFonts w:hint="eastAsia"/>
                <w:color w:val="auto"/>
                <w:highlight w:val="none"/>
                <w:lang w:val="en-US" w:eastAsia="zh-CN"/>
              </w:rPr>
              <w:t>RRM sub use case</w:t>
            </w:r>
          </w:p>
        </w:tc>
        <w:tc>
          <w:tcPr>
            <w:tcW w:w="917" w:type="dxa"/>
            <w:vMerge w:val="restart"/>
          </w:tcPr>
          <w:p>
            <w:pPr>
              <w:spacing w:after="0" w:line="240" w:lineRule="auto"/>
              <w:jc w:val="center"/>
              <w:rPr>
                <w:rFonts w:hint="default" w:eastAsia="宋体"/>
                <w:color w:val="auto"/>
                <w:highlight w:val="none"/>
                <w:vertAlign w:val="baseline"/>
                <w:lang w:val="en-US" w:eastAsia="zh-CN"/>
              </w:rPr>
            </w:pPr>
            <w:r>
              <w:rPr>
                <w:rFonts w:hint="eastAsia"/>
                <w:color w:val="auto"/>
                <w:highlight w:val="none"/>
                <w:lang w:val="en-US" w:eastAsia="zh-CN"/>
              </w:rPr>
              <w:t>UE Speed (km/h)</w:t>
            </w:r>
          </w:p>
        </w:tc>
        <w:tc>
          <w:tcPr>
            <w:tcW w:w="2181" w:type="dxa"/>
            <w:vMerge w:val="restart"/>
          </w:tcPr>
          <w:p>
            <w:pPr>
              <w:spacing w:after="0" w:line="240" w:lineRule="auto"/>
              <w:jc w:val="center"/>
              <w:rPr>
                <w:color w:val="auto"/>
                <w:highlight w:val="none"/>
                <w:vertAlign w:val="baseline"/>
              </w:rPr>
            </w:pPr>
            <w:r>
              <w:rPr>
                <w:rFonts w:hint="eastAsia"/>
                <w:color w:val="auto"/>
                <w:highlight w:val="none"/>
                <w:lang w:val="en-US" w:eastAsia="zh-CN"/>
              </w:rPr>
              <w:t xml:space="preserve">[observation window length, prediction window length] </w:t>
            </w:r>
          </w:p>
        </w:tc>
        <w:tc>
          <w:tcPr>
            <w:tcW w:w="4822" w:type="dxa"/>
            <w:gridSpan w:val="3"/>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default" w:ascii="Times New Roman" w:hAnsi="Times New Roman" w:cs="Times New Roman" w:eastAsiaTheme="minorEastAsia"/>
                <w:color w:val="auto"/>
                <w:kern w:val="2"/>
                <w:sz w:val="20"/>
                <w:szCs w:val="20"/>
                <w:highlight w:val="none"/>
                <w:lang w:val="en-US" w:eastAsia="zh-CN" w:bidi="ar-SA"/>
              </w:rPr>
              <w:t>Average L3 cell level RSRP difference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tcPr>
          <w:p>
            <w:pPr>
              <w:spacing w:after="0" w:line="240" w:lineRule="auto"/>
              <w:rPr>
                <w:rFonts w:hint="eastAsia"/>
                <w:color w:val="auto"/>
                <w:highlight w:val="none"/>
                <w:lang w:val="en-US" w:eastAsia="zh-CN"/>
              </w:rPr>
            </w:pPr>
          </w:p>
        </w:tc>
        <w:tc>
          <w:tcPr>
            <w:tcW w:w="917" w:type="dxa"/>
            <w:vMerge w:val="continue"/>
          </w:tcPr>
          <w:p>
            <w:pPr>
              <w:spacing w:after="0" w:line="240" w:lineRule="auto"/>
              <w:jc w:val="center"/>
              <w:rPr>
                <w:rFonts w:hint="eastAsia"/>
                <w:color w:val="auto"/>
                <w:highlight w:val="none"/>
                <w:lang w:val="en-US" w:eastAsia="zh-CN"/>
              </w:rPr>
            </w:pPr>
          </w:p>
        </w:tc>
        <w:tc>
          <w:tcPr>
            <w:tcW w:w="2181" w:type="dxa"/>
            <w:vMerge w:val="continue"/>
          </w:tcPr>
          <w:p>
            <w:pPr>
              <w:spacing w:after="0" w:line="240" w:lineRule="auto"/>
              <w:jc w:val="center"/>
              <w:rPr>
                <w:rFonts w:hint="eastAsia"/>
                <w:color w:val="auto"/>
                <w:highlight w:val="none"/>
                <w:lang w:val="en-US" w:eastAsia="zh-CN"/>
              </w:rPr>
            </w:pPr>
          </w:p>
        </w:tc>
        <w:tc>
          <w:tcPr>
            <w:tcW w:w="1560" w:type="dxa"/>
            <w:vAlign w:val="top"/>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eastAsia" w:cs="Times New Roman" w:eastAsiaTheme="minorEastAsia"/>
                <w:color w:val="auto"/>
                <w:kern w:val="2"/>
                <w:sz w:val="20"/>
                <w:szCs w:val="20"/>
                <w:highlight w:val="none"/>
                <w:lang w:val="en-US" w:eastAsia="zh-CN" w:bidi="ar-SA"/>
              </w:rPr>
              <w:t xml:space="preserve">BB </w:t>
            </w:r>
            <w:r>
              <w:rPr>
                <w:rFonts w:hint="eastAsia" w:ascii="Times New Roman" w:hAnsi="Times New Roman" w:cs="Times New Roman" w:eastAsiaTheme="minorEastAsia"/>
                <w:color w:val="auto"/>
                <w:kern w:val="2"/>
                <w:sz w:val="20"/>
                <w:szCs w:val="20"/>
                <w:highlight w:val="none"/>
                <w:lang w:val="en-US" w:eastAsia="zh-CN" w:bidi="ar-SA"/>
              </w:rPr>
              <w:t>Error=</w:t>
            </w:r>
            <w:r>
              <w:rPr>
                <w:rFonts w:hint="eastAsia" w:ascii="Times New Roman" w:hAnsi="Times New Roman" w:cs="Times New Roman"/>
                <w:color w:val="auto"/>
                <w:kern w:val="2"/>
                <w:sz w:val="20"/>
                <w:szCs w:val="20"/>
                <w:highlight w:val="none"/>
                <w:lang w:val="en-US" w:eastAsia="zh-CN" w:bidi="ar-SA"/>
              </w:rPr>
              <w:t>0dB</w:t>
            </w:r>
          </w:p>
        </w:tc>
        <w:tc>
          <w:tcPr>
            <w:tcW w:w="1702" w:type="dxa"/>
            <w:vAlign w:val="top"/>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eastAsia" w:cs="Times New Roman" w:eastAsiaTheme="minorEastAsia"/>
                <w:color w:val="auto"/>
                <w:kern w:val="2"/>
                <w:sz w:val="20"/>
                <w:szCs w:val="20"/>
                <w:highlight w:val="none"/>
                <w:lang w:val="en-US" w:eastAsia="zh-CN" w:bidi="ar-SA"/>
              </w:rPr>
              <w:t xml:space="preserve">BB </w:t>
            </w:r>
            <w:r>
              <w:rPr>
                <w:rFonts w:hint="eastAsia" w:ascii="Times New Roman" w:hAnsi="Times New Roman" w:cs="Times New Roman" w:eastAsiaTheme="minorEastAsia"/>
                <w:color w:val="auto"/>
                <w:kern w:val="2"/>
                <w:sz w:val="20"/>
                <w:szCs w:val="20"/>
                <w:highlight w:val="none"/>
                <w:lang w:val="en-US" w:eastAsia="zh-CN" w:bidi="ar-SA"/>
              </w:rPr>
              <w:t>Error=</w:t>
            </w:r>
            <w:r>
              <w:rPr>
                <w:rFonts w:hint="eastAsia" w:ascii="Times New Roman" w:hAnsi="Times New Roman" w:cs="Times New Roman"/>
                <w:color w:val="auto"/>
                <w:kern w:val="2"/>
                <w:sz w:val="20"/>
                <w:szCs w:val="20"/>
                <w:highlight w:val="none"/>
                <w:lang w:val="en-US" w:eastAsia="zh-CN" w:bidi="ar-SA"/>
              </w:rPr>
              <w:t>0.3dB</w:t>
            </w:r>
          </w:p>
        </w:tc>
        <w:tc>
          <w:tcPr>
            <w:tcW w:w="1560" w:type="dxa"/>
            <w:vAlign w:val="top"/>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eastAsia" w:cs="Times New Roman" w:eastAsiaTheme="minorEastAsia"/>
                <w:color w:val="auto"/>
                <w:kern w:val="2"/>
                <w:sz w:val="20"/>
                <w:szCs w:val="20"/>
                <w:highlight w:val="none"/>
                <w:lang w:val="en-US" w:eastAsia="zh-CN" w:bidi="ar-SA"/>
              </w:rPr>
              <w:t xml:space="preserve">BB </w:t>
            </w:r>
            <w:r>
              <w:rPr>
                <w:rFonts w:hint="eastAsia" w:ascii="Times New Roman" w:hAnsi="Times New Roman" w:cs="Times New Roman" w:eastAsiaTheme="minorEastAsia"/>
                <w:color w:val="auto"/>
                <w:kern w:val="2"/>
                <w:sz w:val="20"/>
                <w:szCs w:val="20"/>
                <w:highlight w:val="none"/>
                <w:lang w:val="en-US" w:eastAsia="zh-CN" w:bidi="ar-SA"/>
              </w:rPr>
              <w:t>Error=</w:t>
            </w:r>
            <w:r>
              <w:rPr>
                <w:rFonts w:hint="eastAsia" w:cs="Times New Roman"/>
                <w:color w:val="auto"/>
                <w:kern w:val="2"/>
                <w:sz w:val="20"/>
                <w:szCs w:val="20"/>
                <w:highlight w:val="none"/>
                <w:lang w:val="en-US" w:eastAsia="zh-CN" w:bidi="ar-SA"/>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6" w:type="dxa"/>
            <w:vMerge w:val="restart"/>
            <w:vAlign w:val="center"/>
          </w:tcPr>
          <w:p>
            <w:pPr>
              <w:spacing w:after="0" w:line="240" w:lineRule="auto"/>
              <w:jc w:val="center"/>
              <w:rPr>
                <w:rFonts w:hint="default" w:eastAsia="宋体"/>
                <w:color w:val="auto"/>
                <w:highlight w:val="none"/>
                <w:vertAlign w:val="baseline"/>
                <w:lang w:val="en-US" w:eastAsia="zh-CN"/>
              </w:rPr>
            </w:pPr>
            <w:r>
              <w:rPr>
                <w:rFonts w:hint="eastAsia"/>
                <w:color w:val="auto"/>
                <w:highlight w:val="none"/>
                <w:lang w:val="en-US" w:eastAsia="zh-CN"/>
              </w:rPr>
              <w:t>RRM sub use case 1</w:t>
            </w:r>
          </w:p>
        </w:tc>
        <w:tc>
          <w:tcPr>
            <w:tcW w:w="917" w:type="dxa"/>
            <w:vMerge w:val="restart"/>
            <w:vAlign w:val="center"/>
          </w:tcPr>
          <w:p>
            <w:pPr>
              <w:spacing w:after="0" w:line="240" w:lineRule="auto"/>
              <w:jc w:val="center"/>
              <w:rPr>
                <w:rFonts w:hint="default" w:eastAsia="宋体"/>
                <w:color w:val="auto"/>
                <w:highlight w:val="none"/>
                <w:vertAlign w:val="baseline"/>
                <w:lang w:val="en-US" w:eastAsia="zh-CN"/>
              </w:rPr>
            </w:pPr>
            <w:r>
              <w:rPr>
                <w:rFonts w:hint="eastAsia"/>
                <w:color w:val="auto"/>
                <w:highlight w:val="none"/>
                <w:vertAlign w:val="baseline"/>
                <w:lang w:val="en-US" w:eastAsia="zh-CN"/>
              </w:rPr>
              <w:t>30</w:t>
            </w:r>
          </w:p>
        </w:tc>
        <w:tc>
          <w:tcPr>
            <w:tcW w:w="2181" w:type="dxa"/>
            <w:vAlign w:val="center"/>
          </w:tcPr>
          <w:p>
            <w:pPr>
              <w:bidi w:val="0"/>
              <w:spacing w:after="0" w:line="240" w:lineRule="auto"/>
              <w:jc w:val="center"/>
              <w:rPr>
                <w:rFonts w:hint="eastAsia"/>
                <w:color w:val="auto"/>
                <w:highlight w:val="none"/>
                <w:vertAlign w:val="baseline"/>
                <w:lang w:val="en-US" w:eastAsia="zh-CN"/>
              </w:rPr>
            </w:pPr>
            <w:r>
              <w:rPr>
                <w:rFonts w:hint="eastAsia"/>
                <w:color w:val="auto"/>
                <w:vertAlign w:val="baseline"/>
                <w:lang w:val="en-US" w:eastAsia="zh-CN"/>
              </w:rPr>
              <w:t>[400ms, 200ms]</w:t>
            </w:r>
          </w:p>
        </w:tc>
        <w:tc>
          <w:tcPr>
            <w:tcW w:w="1560" w:type="dxa"/>
            <w:vAlign w:val="center"/>
          </w:tcPr>
          <w:p>
            <w:pPr>
              <w:bidi w:val="0"/>
              <w:spacing w:after="0" w:line="240" w:lineRule="auto"/>
              <w:jc w:val="center"/>
              <w:rPr>
                <w:rFonts w:hint="eastAsia"/>
                <w:color w:val="auto"/>
                <w:highlight w:val="none"/>
                <w:vertAlign w:val="baseline"/>
                <w:lang w:val="en-US" w:eastAsia="zh-CN"/>
              </w:rPr>
            </w:pPr>
            <w:r>
              <w:rPr>
                <w:rFonts w:hint="eastAsia"/>
                <w:color w:val="auto"/>
                <w:sz w:val="20"/>
                <w:szCs w:val="22"/>
                <w:vertAlign w:val="baseline"/>
                <w:lang w:val="en-US" w:eastAsia="zh-CN"/>
              </w:rPr>
              <w:t>0.29</w:t>
            </w:r>
          </w:p>
        </w:tc>
        <w:tc>
          <w:tcPr>
            <w:tcW w:w="1702" w:type="dxa"/>
            <w:vAlign w:val="center"/>
          </w:tcPr>
          <w:p>
            <w:pPr>
              <w:bidi w:val="0"/>
              <w:spacing w:after="0" w:line="240" w:lineRule="auto"/>
              <w:jc w:val="center"/>
              <w:rPr>
                <w:rFonts w:hint="default"/>
                <w:color w:val="auto"/>
                <w:highlight w:val="none"/>
                <w:vertAlign w:val="baseline"/>
                <w:lang w:val="en-US" w:eastAsia="zh-CN"/>
              </w:rPr>
            </w:pPr>
            <w:r>
              <w:rPr>
                <w:rFonts w:hint="eastAsia"/>
                <w:color w:val="auto"/>
                <w:sz w:val="20"/>
                <w:szCs w:val="22"/>
                <w:vertAlign w:val="baseline"/>
                <w:lang w:val="en-US" w:eastAsia="zh-CN"/>
              </w:rPr>
              <w:t>0.32</w:t>
            </w:r>
          </w:p>
        </w:tc>
        <w:tc>
          <w:tcPr>
            <w:tcW w:w="1560" w:type="dxa"/>
            <w:vAlign w:val="center"/>
          </w:tcPr>
          <w:p>
            <w:pPr>
              <w:bidi w:val="0"/>
              <w:spacing w:after="0" w:line="240" w:lineRule="auto"/>
              <w:jc w:val="center"/>
              <w:rPr>
                <w:rFonts w:hint="default"/>
                <w:color w:val="auto"/>
                <w:highlight w:val="none"/>
                <w:vertAlign w:val="baseline"/>
                <w:lang w:val="en-US" w:eastAsia="zh-CN"/>
              </w:rPr>
            </w:pPr>
            <w:r>
              <w:rPr>
                <w:rFonts w:hint="eastAsia"/>
                <w:color w:val="auto"/>
                <w:sz w:val="20"/>
                <w:szCs w:val="22"/>
                <w:vertAlign w:val="baseline"/>
                <w:lang w:val="en-US" w:eastAsia="zh-CN"/>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6" w:type="dxa"/>
            <w:vMerge w:val="continue"/>
            <w:vAlign w:val="center"/>
          </w:tcPr>
          <w:p>
            <w:pPr>
              <w:spacing w:after="0" w:line="240" w:lineRule="auto"/>
              <w:jc w:val="center"/>
              <w:rPr>
                <w:rFonts w:hint="eastAsia"/>
                <w:color w:val="auto"/>
                <w:highlight w:val="none"/>
                <w:lang w:val="en-US" w:eastAsia="zh-CN"/>
              </w:rPr>
            </w:pPr>
          </w:p>
        </w:tc>
        <w:tc>
          <w:tcPr>
            <w:tcW w:w="917" w:type="dxa"/>
            <w:vMerge w:val="continue"/>
            <w:vAlign w:val="center"/>
          </w:tcPr>
          <w:p>
            <w:pPr>
              <w:spacing w:after="0" w:line="240" w:lineRule="auto"/>
              <w:jc w:val="center"/>
              <w:rPr>
                <w:rFonts w:hint="eastAsia"/>
                <w:color w:val="auto"/>
                <w:highlight w:val="none"/>
                <w:vertAlign w:val="baseline"/>
                <w:lang w:val="en-US" w:eastAsia="zh-CN"/>
              </w:rPr>
            </w:pPr>
          </w:p>
        </w:tc>
        <w:tc>
          <w:tcPr>
            <w:tcW w:w="2181" w:type="dxa"/>
            <w:vAlign w:val="center"/>
          </w:tcPr>
          <w:p>
            <w:pPr>
              <w:bidi w:val="0"/>
              <w:spacing w:after="0" w:line="240" w:lineRule="auto"/>
              <w:jc w:val="center"/>
              <w:rPr>
                <w:rFonts w:hint="eastAsia"/>
                <w:color w:val="auto"/>
                <w:highlight w:val="none"/>
                <w:lang w:val="en-US" w:eastAsia="zh-CN"/>
              </w:rPr>
            </w:pPr>
            <w:r>
              <w:rPr>
                <w:rFonts w:hint="eastAsia"/>
                <w:color w:val="auto"/>
                <w:highlight w:val="none"/>
                <w:vertAlign w:val="baseline"/>
                <w:lang w:val="en-US" w:eastAsia="zh-CN"/>
              </w:rPr>
              <w:t>[400ms, 400ms]</w:t>
            </w:r>
          </w:p>
        </w:tc>
        <w:tc>
          <w:tcPr>
            <w:tcW w:w="1560" w:type="dxa"/>
            <w:vAlign w:val="center"/>
          </w:tcPr>
          <w:p>
            <w:pPr>
              <w:bidi w:val="0"/>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[0.41, 0.43]</w:t>
            </w:r>
          </w:p>
        </w:tc>
        <w:tc>
          <w:tcPr>
            <w:tcW w:w="1702" w:type="dxa"/>
            <w:vAlign w:val="center"/>
          </w:tcPr>
          <w:p>
            <w:pPr>
              <w:bidi w:val="0"/>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[0.65, 0.83]</w:t>
            </w:r>
          </w:p>
        </w:tc>
        <w:tc>
          <w:tcPr>
            <w:tcW w:w="1560" w:type="dxa"/>
            <w:vAlign w:val="center"/>
          </w:tcPr>
          <w:p>
            <w:pPr>
              <w:bidi w:val="0"/>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[0.87,1.31]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156" w:type="dxa"/>
            <w:vMerge w:val="restart"/>
            <w:vAlign w:val="center"/>
          </w:tcPr>
          <w:p>
            <w:pPr>
              <w:spacing w:after="0" w:line="240" w:lineRule="auto"/>
              <w:jc w:val="center"/>
              <w:rPr>
                <w:rFonts w:hint="default" w:ascii="Times New Roman" w:hAnsi="Times New Roman" w:cs="Times New Roman" w:eastAsiaTheme="minorEastAsia"/>
                <w:color w:val="auto"/>
                <w:kern w:val="2"/>
                <w:sz w:val="20"/>
                <w:szCs w:val="20"/>
                <w:highlight w:val="none"/>
                <w:lang w:val="en-US" w:eastAsia="zh-CN" w:bidi="ar-SA"/>
              </w:rPr>
            </w:pPr>
            <w:r>
              <w:rPr>
                <w:rFonts w:hint="eastAsia"/>
                <w:color w:val="auto"/>
                <w:highlight w:val="none"/>
                <w:lang w:val="en-US" w:eastAsia="zh-CN"/>
              </w:rPr>
              <w:t>RRM sub use case 2</w:t>
            </w:r>
          </w:p>
        </w:tc>
        <w:tc>
          <w:tcPr>
            <w:tcW w:w="917" w:type="dxa"/>
            <w:vMerge w:val="restart"/>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30</w:t>
            </w:r>
          </w:p>
        </w:tc>
        <w:tc>
          <w:tcPr>
            <w:tcW w:w="2181" w:type="dxa"/>
            <w:vAlign w:val="center"/>
          </w:tcPr>
          <w:p>
            <w:pPr>
              <w:bidi w:val="0"/>
              <w:spacing w:after="0" w:line="240" w:lineRule="auto"/>
              <w:jc w:val="center"/>
              <w:rPr>
                <w:rFonts w:hint="eastAsia"/>
                <w:color w:val="auto"/>
                <w:highlight w:val="none"/>
                <w:vertAlign w:val="baseline"/>
                <w:lang w:val="en-US" w:eastAsia="zh-CN"/>
              </w:rPr>
            </w:pPr>
            <w:r>
              <w:rPr>
                <w:rFonts w:hint="eastAsia"/>
                <w:color w:val="auto"/>
                <w:vertAlign w:val="baseline"/>
                <w:lang w:val="en-US" w:eastAsia="zh-CN"/>
              </w:rPr>
              <w:t>[400ms, 200ms]</w:t>
            </w:r>
          </w:p>
        </w:tc>
        <w:tc>
          <w:tcPr>
            <w:tcW w:w="1560" w:type="dxa"/>
            <w:vAlign w:val="center"/>
          </w:tcPr>
          <w:p>
            <w:pPr>
              <w:bidi w:val="0"/>
              <w:spacing w:after="0" w:line="240" w:lineRule="auto"/>
              <w:jc w:val="center"/>
              <w:rPr>
                <w:rFonts w:hint="default"/>
                <w:color w:val="auto"/>
                <w:highlight w:val="none"/>
                <w:vertAlign w:val="baseline"/>
                <w:lang w:val="en-US" w:eastAsia="zh-CN"/>
              </w:rPr>
            </w:pPr>
            <w:r>
              <w:rPr>
                <w:rFonts w:hint="eastAsia"/>
                <w:color w:val="auto"/>
                <w:sz w:val="20"/>
                <w:szCs w:val="22"/>
                <w:vertAlign w:val="baseline"/>
                <w:lang w:val="en-US" w:eastAsia="zh-CN"/>
              </w:rPr>
              <w:t>0.28</w:t>
            </w:r>
          </w:p>
        </w:tc>
        <w:tc>
          <w:tcPr>
            <w:tcW w:w="1702" w:type="dxa"/>
            <w:vAlign w:val="center"/>
          </w:tcPr>
          <w:p>
            <w:pPr>
              <w:bidi w:val="0"/>
              <w:spacing w:after="0" w:line="240" w:lineRule="auto"/>
              <w:jc w:val="center"/>
              <w:rPr>
                <w:rFonts w:hint="eastAsia"/>
                <w:color w:val="auto"/>
                <w:highlight w:val="none"/>
                <w:vertAlign w:val="baseline"/>
                <w:lang w:val="en-US" w:eastAsia="zh-CN"/>
              </w:rPr>
            </w:pPr>
            <w:r>
              <w:rPr>
                <w:rFonts w:hint="eastAsia"/>
                <w:color w:val="auto"/>
                <w:sz w:val="20"/>
                <w:szCs w:val="22"/>
                <w:vertAlign w:val="baseline"/>
                <w:lang w:val="en-US" w:eastAsia="zh-CN"/>
              </w:rPr>
              <w:t>0.31</w:t>
            </w:r>
          </w:p>
        </w:tc>
        <w:tc>
          <w:tcPr>
            <w:tcW w:w="1560" w:type="dxa"/>
            <w:vAlign w:val="center"/>
          </w:tcPr>
          <w:p>
            <w:pPr>
              <w:bidi w:val="0"/>
              <w:spacing w:after="0" w:line="240" w:lineRule="auto"/>
              <w:jc w:val="center"/>
              <w:rPr>
                <w:rFonts w:hint="eastAsia"/>
                <w:color w:val="auto"/>
                <w:highlight w:val="none"/>
                <w:vertAlign w:val="baseline"/>
                <w:lang w:val="en-US" w:eastAsia="zh-CN"/>
              </w:rPr>
            </w:pPr>
            <w:r>
              <w:rPr>
                <w:rFonts w:hint="eastAsia"/>
                <w:color w:val="auto"/>
                <w:sz w:val="20"/>
                <w:szCs w:val="22"/>
                <w:vertAlign w:val="baseline"/>
                <w:lang w:val="en-US" w:eastAsia="zh-CN"/>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vAlign w:val="center"/>
          </w:tcPr>
          <w:p>
            <w:pPr>
              <w:spacing w:after="0" w:line="240" w:lineRule="auto"/>
              <w:jc w:val="center"/>
              <w:rPr>
                <w:rFonts w:hint="eastAsia"/>
                <w:color w:val="auto"/>
                <w:highlight w:val="none"/>
                <w:lang w:val="en-US" w:eastAsia="zh-CN"/>
              </w:rPr>
            </w:pPr>
          </w:p>
        </w:tc>
        <w:tc>
          <w:tcPr>
            <w:tcW w:w="917" w:type="dxa"/>
            <w:vMerge w:val="continue"/>
            <w:vAlign w:val="center"/>
          </w:tcPr>
          <w:p>
            <w:pPr>
              <w:spacing w:after="0" w:line="240" w:lineRule="auto"/>
              <w:jc w:val="center"/>
              <w:rPr>
                <w:rFonts w:hint="eastAsia"/>
                <w:color w:val="auto"/>
                <w:highlight w:val="none"/>
                <w:vertAlign w:val="baseline"/>
                <w:lang w:val="en-US" w:eastAsia="zh-CN"/>
              </w:rPr>
            </w:pPr>
          </w:p>
        </w:tc>
        <w:tc>
          <w:tcPr>
            <w:tcW w:w="2181" w:type="dxa"/>
            <w:vAlign w:val="center"/>
          </w:tcPr>
          <w:p>
            <w:pPr>
              <w:bidi w:val="0"/>
              <w:spacing w:after="0" w:line="240" w:lineRule="auto"/>
              <w:jc w:val="center"/>
              <w:rPr>
                <w:rFonts w:hint="eastAsia"/>
                <w:color w:val="auto"/>
                <w:highlight w:val="none"/>
                <w:lang w:val="en-US" w:eastAsia="zh-CN"/>
              </w:rPr>
            </w:pPr>
            <w:r>
              <w:rPr>
                <w:rFonts w:hint="eastAsia"/>
                <w:color w:val="auto"/>
                <w:highlight w:val="none"/>
                <w:vertAlign w:val="baseline"/>
                <w:lang w:val="en-US" w:eastAsia="zh-CN"/>
              </w:rPr>
              <w:t>[400ms, 400ms]</w:t>
            </w:r>
          </w:p>
        </w:tc>
        <w:tc>
          <w:tcPr>
            <w:tcW w:w="1560" w:type="dxa"/>
            <w:shd w:val="clear" w:color="auto" w:fill="auto"/>
            <w:vAlign w:val="center"/>
          </w:tcPr>
          <w:p>
            <w:pPr>
              <w:bidi w:val="0"/>
              <w:spacing w:after="0" w:line="240" w:lineRule="auto"/>
              <w:jc w:val="center"/>
              <w:rPr>
                <w:rFonts w:hint="eastAsia"/>
                <w:color w:val="auto"/>
                <w:highlight w:val="none"/>
                <w:vertAlign w:val="baseline"/>
                <w:lang w:val="en-US" w:eastAsia="zh-CN"/>
              </w:rPr>
            </w:pPr>
            <w:r>
              <w:rPr>
                <w:rFonts w:hint="eastAsia"/>
                <w:strike w:val="0"/>
                <w:dstrike w:val="0"/>
                <w:color w:val="auto"/>
                <w:highlight w:val="none"/>
                <w:vertAlign w:val="baseline"/>
                <w:lang w:val="en-US" w:eastAsia="zh-CN"/>
              </w:rPr>
              <w:t xml:space="preserve">[0.39, 0.43] </w:t>
            </w:r>
          </w:p>
        </w:tc>
        <w:tc>
          <w:tcPr>
            <w:tcW w:w="1702" w:type="dxa"/>
            <w:shd w:val="clear" w:color="auto" w:fill="auto"/>
            <w:vAlign w:val="center"/>
          </w:tcPr>
          <w:p>
            <w:pPr>
              <w:bidi w:val="0"/>
              <w:spacing w:after="0" w:line="240" w:lineRule="auto"/>
              <w:jc w:val="center"/>
              <w:rPr>
                <w:rFonts w:hint="eastAsia"/>
                <w:color w:val="auto"/>
                <w:highlight w:val="none"/>
                <w:vertAlign w:val="baseline"/>
                <w:lang w:val="en-US" w:eastAsia="zh-CN"/>
              </w:rPr>
            </w:pPr>
            <w:r>
              <w:rPr>
                <w:rFonts w:hint="eastAsia"/>
                <w:strike w:val="0"/>
                <w:dstrike w:val="0"/>
                <w:color w:val="auto"/>
                <w:highlight w:val="none"/>
                <w:vertAlign w:val="baseline"/>
                <w:lang w:val="en-US" w:eastAsia="zh-CN"/>
              </w:rPr>
              <w:t>[0.43, 0.46]</w:t>
            </w:r>
          </w:p>
        </w:tc>
        <w:tc>
          <w:tcPr>
            <w:tcW w:w="1560" w:type="dxa"/>
            <w:shd w:val="clear" w:color="auto" w:fill="auto"/>
            <w:vAlign w:val="center"/>
          </w:tcPr>
          <w:p>
            <w:pPr>
              <w:bidi w:val="0"/>
              <w:spacing w:after="0" w:line="240" w:lineRule="auto"/>
              <w:jc w:val="center"/>
              <w:rPr>
                <w:rFonts w:hint="eastAsia"/>
                <w:color w:val="auto"/>
                <w:highlight w:val="none"/>
                <w:vertAlign w:val="baseline"/>
                <w:lang w:val="en-US" w:eastAsia="zh-CN"/>
              </w:rPr>
            </w:pPr>
            <w:r>
              <w:rPr>
                <w:rFonts w:hint="eastAsia"/>
                <w:strike w:val="0"/>
                <w:dstrike w:val="0"/>
                <w:color w:val="auto"/>
                <w:highlight w:val="none"/>
                <w:vertAlign w:val="baseline"/>
                <w:lang w:val="en-US" w:eastAsia="zh-CN"/>
              </w:rPr>
              <w:t>[0.51,0.53]</w:t>
            </w:r>
          </w:p>
        </w:tc>
      </w:tr>
    </w:tbl>
    <w:p>
      <w:pPr>
        <w:rPr>
          <w:rFonts w:hint="default" w:eastAsia="宋体"/>
          <w:color w:val="auto"/>
          <w:lang w:val="en-US" w:eastAsia="zh-CN"/>
        </w:rPr>
      </w:pPr>
    </w:p>
    <w:p>
      <w:pPr>
        <w:rPr>
          <w:rFonts w:hint="default" w:eastAsia="宋体"/>
          <w:color w:val="auto"/>
          <w:lang w:val="en-US" w:eastAsia="zh-CN"/>
        </w:rPr>
      </w:pPr>
      <w:r>
        <w:rPr>
          <w:rFonts w:hint="eastAsia" w:eastAsia="宋体"/>
          <w:color w:val="auto"/>
          <w:lang w:val="en-US" w:eastAsia="zh-CN"/>
        </w:rPr>
        <w:t xml:space="preserve">                                 Table 1-2. Simulation result on FR2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917"/>
        <w:gridCol w:w="2116"/>
        <w:gridCol w:w="1636"/>
        <w:gridCol w:w="1604"/>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restart"/>
          </w:tcPr>
          <w:p>
            <w:pPr>
              <w:spacing w:after="0" w:line="240" w:lineRule="auto"/>
              <w:rPr>
                <w:color w:val="auto"/>
                <w:highlight w:val="none"/>
                <w:vertAlign w:val="baseline"/>
              </w:rPr>
            </w:pPr>
            <w:r>
              <w:rPr>
                <w:rFonts w:hint="eastAsia"/>
                <w:color w:val="auto"/>
                <w:highlight w:val="none"/>
                <w:lang w:val="en-US" w:eastAsia="zh-CN"/>
              </w:rPr>
              <w:t>RRM sub use case</w:t>
            </w:r>
          </w:p>
        </w:tc>
        <w:tc>
          <w:tcPr>
            <w:tcW w:w="917" w:type="dxa"/>
            <w:vMerge w:val="restart"/>
          </w:tcPr>
          <w:p>
            <w:pPr>
              <w:spacing w:after="0" w:line="240" w:lineRule="auto"/>
              <w:jc w:val="center"/>
              <w:rPr>
                <w:rFonts w:hint="default" w:eastAsia="宋体"/>
                <w:color w:val="auto"/>
                <w:highlight w:val="none"/>
                <w:vertAlign w:val="baseline"/>
                <w:lang w:val="en-US" w:eastAsia="zh-CN"/>
              </w:rPr>
            </w:pPr>
            <w:r>
              <w:rPr>
                <w:rFonts w:hint="eastAsia"/>
                <w:color w:val="auto"/>
                <w:highlight w:val="none"/>
                <w:lang w:val="en-US" w:eastAsia="zh-CN"/>
              </w:rPr>
              <w:t>UE Speed (km/h)</w:t>
            </w:r>
          </w:p>
        </w:tc>
        <w:tc>
          <w:tcPr>
            <w:tcW w:w="2116" w:type="dxa"/>
            <w:vMerge w:val="restart"/>
          </w:tcPr>
          <w:p>
            <w:pPr>
              <w:spacing w:after="0" w:line="240" w:lineRule="auto"/>
              <w:jc w:val="center"/>
              <w:rPr>
                <w:color w:val="auto"/>
                <w:highlight w:val="none"/>
                <w:vertAlign w:val="baseline"/>
              </w:rPr>
            </w:pPr>
            <w:r>
              <w:rPr>
                <w:rFonts w:hint="eastAsia"/>
                <w:color w:val="auto"/>
                <w:highlight w:val="none"/>
                <w:lang w:val="en-US" w:eastAsia="zh-CN"/>
              </w:rPr>
              <w:t xml:space="preserve">[observation window length, prediction window length] </w:t>
            </w:r>
          </w:p>
        </w:tc>
        <w:tc>
          <w:tcPr>
            <w:tcW w:w="4898" w:type="dxa"/>
            <w:gridSpan w:val="3"/>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default" w:ascii="Times New Roman" w:hAnsi="Times New Roman" w:cs="Times New Roman" w:eastAsiaTheme="minorEastAsia"/>
                <w:color w:val="auto"/>
                <w:kern w:val="2"/>
                <w:sz w:val="20"/>
                <w:szCs w:val="20"/>
                <w:highlight w:val="none"/>
                <w:lang w:val="en-US" w:eastAsia="zh-CN" w:bidi="ar-SA"/>
              </w:rPr>
              <w:t>Average L3 cell level RSRP difference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continue"/>
          </w:tcPr>
          <w:p>
            <w:pPr>
              <w:spacing w:after="0" w:line="240" w:lineRule="auto"/>
              <w:rPr>
                <w:rFonts w:hint="eastAsia"/>
                <w:color w:val="auto"/>
                <w:highlight w:val="none"/>
                <w:lang w:val="en-US" w:eastAsia="zh-CN"/>
              </w:rPr>
            </w:pPr>
          </w:p>
        </w:tc>
        <w:tc>
          <w:tcPr>
            <w:tcW w:w="917" w:type="dxa"/>
            <w:vMerge w:val="continue"/>
          </w:tcPr>
          <w:p>
            <w:pPr>
              <w:spacing w:after="0" w:line="240" w:lineRule="auto"/>
              <w:jc w:val="center"/>
              <w:rPr>
                <w:rFonts w:hint="eastAsia"/>
                <w:color w:val="auto"/>
                <w:highlight w:val="none"/>
                <w:lang w:val="en-US" w:eastAsia="zh-CN"/>
              </w:rPr>
            </w:pPr>
          </w:p>
        </w:tc>
        <w:tc>
          <w:tcPr>
            <w:tcW w:w="2116" w:type="dxa"/>
            <w:vMerge w:val="continue"/>
          </w:tcPr>
          <w:p>
            <w:pPr>
              <w:spacing w:after="0" w:line="240" w:lineRule="auto"/>
              <w:jc w:val="center"/>
              <w:rPr>
                <w:rFonts w:hint="eastAsia"/>
                <w:color w:val="auto"/>
                <w:highlight w:val="none"/>
                <w:lang w:val="en-US" w:eastAsia="zh-CN"/>
              </w:rPr>
            </w:pPr>
          </w:p>
        </w:tc>
        <w:tc>
          <w:tcPr>
            <w:tcW w:w="1636" w:type="dxa"/>
            <w:vAlign w:val="top"/>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eastAsia" w:cs="Times New Roman" w:eastAsiaTheme="minorEastAsia"/>
                <w:color w:val="auto"/>
                <w:kern w:val="2"/>
                <w:sz w:val="20"/>
                <w:szCs w:val="20"/>
                <w:highlight w:val="none"/>
                <w:lang w:val="en-US" w:eastAsia="zh-CN" w:bidi="ar-SA"/>
              </w:rPr>
              <w:t xml:space="preserve">BB </w:t>
            </w:r>
            <w:r>
              <w:rPr>
                <w:rFonts w:hint="eastAsia" w:ascii="Times New Roman" w:hAnsi="Times New Roman" w:cs="Times New Roman" w:eastAsiaTheme="minorEastAsia"/>
                <w:color w:val="auto"/>
                <w:kern w:val="2"/>
                <w:sz w:val="20"/>
                <w:szCs w:val="20"/>
                <w:highlight w:val="none"/>
                <w:lang w:val="en-US" w:eastAsia="zh-CN" w:bidi="ar-SA"/>
              </w:rPr>
              <w:t>Error=0</w:t>
            </w:r>
            <w:r>
              <w:rPr>
                <w:rFonts w:hint="eastAsia" w:ascii="Times New Roman" w:hAnsi="Times New Roman" w:cs="Times New Roman"/>
                <w:color w:val="auto"/>
                <w:kern w:val="2"/>
                <w:sz w:val="20"/>
                <w:szCs w:val="20"/>
                <w:highlight w:val="none"/>
                <w:lang w:val="en-US" w:eastAsia="zh-CN" w:bidi="ar-SA"/>
              </w:rPr>
              <w:t>dB</w:t>
            </w:r>
          </w:p>
        </w:tc>
        <w:tc>
          <w:tcPr>
            <w:tcW w:w="1604" w:type="dxa"/>
            <w:vAlign w:val="top"/>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eastAsia" w:cs="Times New Roman" w:eastAsiaTheme="minorEastAsia"/>
                <w:color w:val="auto"/>
                <w:kern w:val="2"/>
                <w:sz w:val="20"/>
                <w:szCs w:val="20"/>
                <w:highlight w:val="none"/>
                <w:lang w:val="en-US" w:eastAsia="zh-CN" w:bidi="ar-SA"/>
              </w:rPr>
              <w:t xml:space="preserve">BB </w:t>
            </w:r>
            <w:r>
              <w:rPr>
                <w:rFonts w:hint="eastAsia" w:ascii="Times New Roman" w:hAnsi="Times New Roman" w:cs="Times New Roman" w:eastAsiaTheme="minorEastAsia"/>
                <w:color w:val="auto"/>
                <w:kern w:val="2"/>
                <w:sz w:val="20"/>
                <w:szCs w:val="20"/>
                <w:highlight w:val="none"/>
                <w:lang w:val="en-US" w:eastAsia="zh-CN" w:bidi="ar-SA"/>
              </w:rPr>
              <w:t>Error=</w:t>
            </w:r>
            <w:r>
              <w:rPr>
                <w:rFonts w:hint="eastAsia" w:ascii="Times New Roman" w:hAnsi="Times New Roman" w:cs="Times New Roman"/>
                <w:color w:val="auto"/>
                <w:kern w:val="2"/>
                <w:sz w:val="20"/>
                <w:szCs w:val="20"/>
                <w:highlight w:val="none"/>
                <w:lang w:val="en-US" w:eastAsia="zh-CN" w:bidi="ar-SA"/>
              </w:rPr>
              <w:t>0.3dB</w:t>
            </w:r>
          </w:p>
        </w:tc>
        <w:tc>
          <w:tcPr>
            <w:tcW w:w="1658" w:type="dxa"/>
            <w:vAlign w:val="top"/>
          </w:tcPr>
          <w:p>
            <w:pPr>
              <w:spacing w:after="0" w:line="240" w:lineRule="auto"/>
              <w:jc w:val="center"/>
              <w:rPr>
                <w:rFonts w:hint="eastAsia" w:ascii="Times New Roman" w:hAnsi="Times New Roman" w:cs="Times New Roman" w:eastAsiaTheme="minorEastAsia"/>
                <w:color w:val="auto"/>
                <w:kern w:val="2"/>
                <w:sz w:val="20"/>
                <w:szCs w:val="20"/>
                <w:highlight w:val="none"/>
                <w:lang w:val="en-US" w:eastAsia="zh-CN" w:bidi="ar-SA"/>
              </w:rPr>
            </w:pPr>
            <w:r>
              <w:rPr>
                <w:rFonts w:hint="eastAsia" w:cs="Times New Roman" w:eastAsiaTheme="minorEastAsia"/>
                <w:color w:val="auto"/>
                <w:kern w:val="2"/>
                <w:sz w:val="20"/>
                <w:szCs w:val="20"/>
                <w:highlight w:val="none"/>
                <w:lang w:val="en-US" w:eastAsia="zh-CN" w:bidi="ar-SA"/>
              </w:rPr>
              <w:t xml:space="preserve">BB </w:t>
            </w:r>
            <w:r>
              <w:rPr>
                <w:rFonts w:hint="eastAsia" w:ascii="Times New Roman" w:hAnsi="Times New Roman" w:cs="Times New Roman" w:eastAsiaTheme="minorEastAsia"/>
                <w:color w:val="auto"/>
                <w:kern w:val="2"/>
                <w:sz w:val="20"/>
                <w:szCs w:val="20"/>
                <w:highlight w:val="none"/>
                <w:lang w:val="en-US" w:eastAsia="zh-CN" w:bidi="ar-SA"/>
              </w:rPr>
              <w:t>Error=</w:t>
            </w:r>
            <w:r>
              <w:rPr>
                <w:rFonts w:hint="eastAsia" w:cs="Times New Roman"/>
                <w:color w:val="auto"/>
                <w:kern w:val="2"/>
                <w:sz w:val="20"/>
                <w:szCs w:val="20"/>
                <w:highlight w:val="none"/>
                <w:lang w:val="en-US" w:eastAsia="zh-CN" w:bidi="ar-SA"/>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5" w:type="dxa"/>
            <w:vMerge w:val="restart"/>
            <w:vAlign w:val="center"/>
          </w:tcPr>
          <w:p>
            <w:pPr>
              <w:spacing w:after="0" w:line="240" w:lineRule="auto"/>
              <w:jc w:val="center"/>
              <w:rPr>
                <w:rFonts w:hint="default" w:eastAsia="宋体"/>
                <w:color w:val="auto"/>
                <w:highlight w:val="none"/>
                <w:vertAlign w:val="baseline"/>
                <w:lang w:val="en-US" w:eastAsia="zh-CN"/>
              </w:rPr>
            </w:pPr>
            <w:r>
              <w:rPr>
                <w:rFonts w:hint="eastAsia"/>
                <w:color w:val="auto"/>
                <w:highlight w:val="none"/>
                <w:lang w:val="en-US" w:eastAsia="zh-CN"/>
              </w:rPr>
              <w:t>RRM sub use case 1</w:t>
            </w:r>
          </w:p>
        </w:tc>
        <w:tc>
          <w:tcPr>
            <w:tcW w:w="917" w:type="dxa"/>
            <w:vMerge w:val="restart"/>
            <w:vAlign w:val="center"/>
          </w:tcPr>
          <w:p>
            <w:pPr>
              <w:spacing w:after="0" w:line="240" w:lineRule="auto"/>
              <w:jc w:val="center"/>
              <w:rPr>
                <w:rFonts w:hint="default" w:eastAsia="宋体"/>
                <w:color w:val="auto"/>
                <w:highlight w:val="none"/>
                <w:vertAlign w:val="baseline"/>
                <w:lang w:val="en-US" w:eastAsia="zh-CN"/>
              </w:rPr>
            </w:pPr>
            <w:r>
              <w:rPr>
                <w:rFonts w:hint="eastAsia"/>
                <w:color w:val="auto"/>
                <w:highlight w:val="none"/>
                <w:vertAlign w:val="baseline"/>
                <w:lang w:val="en-US" w:eastAsia="zh-CN"/>
              </w:rPr>
              <w:t>60</w:t>
            </w:r>
          </w:p>
        </w:tc>
        <w:tc>
          <w:tcPr>
            <w:tcW w:w="2116" w:type="dxa"/>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lang w:val="en-US" w:eastAsia="zh-CN"/>
              </w:rPr>
              <w:t>[800ms, 400ms]</w:t>
            </w:r>
          </w:p>
        </w:tc>
        <w:tc>
          <w:tcPr>
            <w:tcW w:w="1636"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0.70</w:t>
            </w:r>
          </w:p>
        </w:tc>
        <w:tc>
          <w:tcPr>
            <w:tcW w:w="1604"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0.77</w:t>
            </w:r>
          </w:p>
        </w:tc>
        <w:tc>
          <w:tcPr>
            <w:tcW w:w="1658"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5" w:type="dxa"/>
            <w:vMerge w:val="continue"/>
            <w:vAlign w:val="center"/>
          </w:tcPr>
          <w:p>
            <w:pPr>
              <w:spacing w:after="0" w:line="240" w:lineRule="auto"/>
              <w:jc w:val="center"/>
              <w:rPr>
                <w:rFonts w:hint="eastAsia"/>
                <w:color w:val="auto"/>
                <w:highlight w:val="none"/>
                <w:lang w:val="en-US" w:eastAsia="zh-CN"/>
              </w:rPr>
            </w:pPr>
          </w:p>
        </w:tc>
        <w:tc>
          <w:tcPr>
            <w:tcW w:w="917" w:type="dxa"/>
            <w:vMerge w:val="continue"/>
            <w:vAlign w:val="center"/>
          </w:tcPr>
          <w:p>
            <w:pPr>
              <w:spacing w:after="0" w:line="240" w:lineRule="auto"/>
              <w:jc w:val="center"/>
              <w:rPr>
                <w:rFonts w:hint="eastAsia"/>
                <w:color w:val="auto"/>
                <w:highlight w:val="none"/>
                <w:vertAlign w:val="baseline"/>
                <w:lang w:val="en-US" w:eastAsia="zh-CN"/>
              </w:rPr>
            </w:pPr>
          </w:p>
        </w:tc>
        <w:tc>
          <w:tcPr>
            <w:tcW w:w="2116" w:type="dxa"/>
            <w:vAlign w:val="center"/>
          </w:tcPr>
          <w:p>
            <w:pPr>
              <w:spacing w:after="0" w:line="240" w:lineRule="auto"/>
              <w:jc w:val="center"/>
              <w:rPr>
                <w:rFonts w:hint="eastAsia"/>
                <w:color w:val="auto"/>
                <w:highlight w:val="none"/>
                <w:lang w:val="en-US" w:eastAsia="zh-CN"/>
              </w:rPr>
            </w:pPr>
            <w:r>
              <w:rPr>
                <w:rFonts w:hint="eastAsia"/>
                <w:color w:val="auto"/>
                <w:highlight w:val="none"/>
                <w:lang w:val="en-US" w:eastAsia="zh-CN"/>
              </w:rPr>
              <w:t>[800ms, 800ms]</w:t>
            </w:r>
          </w:p>
        </w:tc>
        <w:tc>
          <w:tcPr>
            <w:tcW w:w="1636"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[0.75, 1.17]</w:t>
            </w:r>
          </w:p>
        </w:tc>
        <w:tc>
          <w:tcPr>
            <w:tcW w:w="1604"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[0.81，1.29]</w:t>
            </w:r>
          </w:p>
        </w:tc>
        <w:tc>
          <w:tcPr>
            <w:tcW w:w="1658"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[0.93，1.46]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5" w:type="dxa"/>
            <w:vMerge w:val="continue"/>
            <w:vAlign w:val="center"/>
          </w:tcPr>
          <w:p>
            <w:pPr>
              <w:spacing w:after="0" w:line="240" w:lineRule="auto"/>
              <w:jc w:val="center"/>
              <w:rPr>
                <w:rFonts w:hint="eastAsia"/>
                <w:color w:val="auto"/>
                <w:highlight w:val="none"/>
                <w:lang w:val="en-US" w:eastAsia="zh-CN"/>
              </w:rPr>
            </w:pPr>
          </w:p>
        </w:tc>
        <w:tc>
          <w:tcPr>
            <w:tcW w:w="917" w:type="dxa"/>
            <w:vMerge w:val="continue"/>
            <w:vAlign w:val="center"/>
          </w:tcPr>
          <w:p>
            <w:pPr>
              <w:spacing w:after="0" w:line="240" w:lineRule="auto"/>
              <w:jc w:val="center"/>
              <w:rPr>
                <w:rFonts w:hint="eastAsia"/>
                <w:color w:val="auto"/>
                <w:highlight w:val="none"/>
                <w:vertAlign w:val="baseline"/>
                <w:lang w:val="en-US" w:eastAsia="zh-CN"/>
              </w:rPr>
            </w:pPr>
          </w:p>
        </w:tc>
        <w:tc>
          <w:tcPr>
            <w:tcW w:w="2116" w:type="dxa"/>
            <w:vAlign w:val="center"/>
          </w:tcPr>
          <w:p>
            <w:pPr>
              <w:spacing w:after="0" w:line="240" w:lineRule="auto"/>
              <w:jc w:val="center"/>
              <w:rPr>
                <w:rFonts w:hint="eastAsia"/>
                <w:color w:val="auto"/>
                <w:highlight w:val="none"/>
                <w:lang w:val="en-US" w:eastAsia="zh-CN"/>
              </w:rPr>
            </w:pPr>
            <w:r>
              <w:rPr>
                <w:rFonts w:hint="eastAsia"/>
                <w:color w:val="auto"/>
                <w:highlight w:val="none"/>
                <w:lang w:val="en-US" w:eastAsia="zh-CN"/>
              </w:rPr>
              <w:t>[1200ms, 1200ms]</w:t>
            </w:r>
          </w:p>
        </w:tc>
        <w:tc>
          <w:tcPr>
            <w:tcW w:w="1636"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[0.80, 1.24, 1.73]</w:t>
            </w:r>
          </w:p>
        </w:tc>
        <w:tc>
          <w:tcPr>
            <w:tcW w:w="1604"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[0.87，1.35，1.83]</w:t>
            </w:r>
          </w:p>
        </w:tc>
        <w:tc>
          <w:tcPr>
            <w:tcW w:w="1658"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[0.97，1.48，2.00]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145" w:type="dxa"/>
            <w:vMerge w:val="restart"/>
            <w:vAlign w:val="center"/>
          </w:tcPr>
          <w:p>
            <w:pPr>
              <w:spacing w:after="0" w:line="240" w:lineRule="auto"/>
              <w:jc w:val="center"/>
              <w:rPr>
                <w:rFonts w:hint="default" w:ascii="Times New Roman" w:hAnsi="Times New Roman" w:cs="Times New Roman" w:eastAsiaTheme="minorEastAsia"/>
                <w:color w:val="auto"/>
                <w:kern w:val="2"/>
                <w:sz w:val="20"/>
                <w:szCs w:val="20"/>
                <w:highlight w:val="none"/>
                <w:lang w:val="en-US" w:eastAsia="zh-CN" w:bidi="ar-SA"/>
              </w:rPr>
            </w:pPr>
            <w:r>
              <w:rPr>
                <w:rFonts w:hint="eastAsia"/>
                <w:color w:val="auto"/>
                <w:highlight w:val="none"/>
                <w:lang w:val="en-US" w:eastAsia="zh-CN"/>
              </w:rPr>
              <w:t>RRM sub use case 2</w:t>
            </w:r>
          </w:p>
        </w:tc>
        <w:tc>
          <w:tcPr>
            <w:tcW w:w="917" w:type="dxa"/>
            <w:vMerge w:val="restart"/>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60</w:t>
            </w:r>
          </w:p>
        </w:tc>
        <w:tc>
          <w:tcPr>
            <w:tcW w:w="2116" w:type="dxa"/>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lang w:val="en-US" w:eastAsia="zh-CN"/>
              </w:rPr>
              <w:t>[800ms, 400ms]</w:t>
            </w:r>
          </w:p>
        </w:tc>
        <w:tc>
          <w:tcPr>
            <w:tcW w:w="1636" w:type="dxa"/>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0.62</w:t>
            </w:r>
          </w:p>
        </w:tc>
        <w:tc>
          <w:tcPr>
            <w:tcW w:w="1604" w:type="dxa"/>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0.66</w:t>
            </w:r>
          </w:p>
        </w:tc>
        <w:tc>
          <w:tcPr>
            <w:tcW w:w="1658" w:type="dxa"/>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continue"/>
            <w:vAlign w:val="center"/>
          </w:tcPr>
          <w:p>
            <w:pPr>
              <w:spacing w:after="0" w:line="240" w:lineRule="auto"/>
              <w:jc w:val="center"/>
              <w:rPr>
                <w:rFonts w:hint="eastAsia"/>
                <w:color w:val="auto"/>
                <w:highlight w:val="none"/>
                <w:lang w:val="en-US" w:eastAsia="zh-CN"/>
              </w:rPr>
            </w:pPr>
          </w:p>
        </w:tc>
        <w:tc>
          <w:tcPr>
            <w:tcW w:w="917" w:type="dxa"/>
            <w:vMerge w:val="continue"/>
            <w:vAlign w:val="center"/>
          </w:tcPr>
          <w:p>
            <w:pPr>
              <w:spacing w:after="0" w:line="240" w:lineRule="auto"/>
              <w:jc w:val="center"/>
              <w:rPr>
                <w:rFonts w:hint="eastAsia"/>
                <w:color w:val="auto"/>
                <w:highlight w:val="none"/>
                <w:vertAlign w:val="baseline"/>
                <w:lang w:val="en-US" w:eastAsia="zh-CN"/>
              </w:rPr>
            </w:pPr>
          </w:p>
        </w:tc>
        <w:tc>
          <w:tcPr>
            <w:tcW w:w="2116" w:type="dxa"/>
            <w:vAlign w:val="center"/>
          </w:tcPr>
          <w:p>
            <w:pPr>
              <w:spacing w:after="0" w:line="240" w:lineRule="auto"/>
              <w:jc w:val="center"/>
              <w:rPr>
                <w:rFonts w:hint="eastAsia"/>
                <w:color w:val="auto"/>
                <w:highlight w:val="none"/>
                <w:lang w:val="en-US" w:eastAsia="zh-CN"/>
              </w:rPr>
            </w:pPr>
            <w:r>
              <w:rPr>
                <w:rFonts w:hint="eastAsia"/>
                <w:color w:val="auto"/>
                <w:highlight w:val="none"/>
                <w:lang w:val="en-US" w:eastAsia="zh-CN"/>
              </w:rPr>
              <w:t>[800ms, 800ms]</w:t>
            </w:r>
          </w:p>
        </w:tc>
        <w:tc>
          <w:tcPr>
            <w:tcW w:w="1636" w:type="dxa"/>
            <w:shd w:val="clear" w:color="auto" w:fill="auto"/>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[0.70, 1.17]</w:t>
            </w:r>
          </w:p>
        </w:tc>
        <w:tc>
          <w:tcPr>
            <w:tcW w:w="1604" w:type="dxa"/>
            <w:shd w:val="clear" w:color="auto" w:fill="auto"/>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[0.75，1.20]</w:t>
            </w:r>
          </w:p>
        </w:tc>
        <w:tc>
          <w:tcPr>
            <w:tcW w:w="1658" w:type="dxa"/>
            <w:shd w:val="clear" w:color="auto" w:fill="auto"/>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[0.85，1.27]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continue"/>
            <w:vAlign w:val="center"/>
          </w:tcPr>
          <w:p>
            <w:pPr>
              <w:spacing w:after="0" w:line="240" w:lineRule="auto"/>
              <w:jc w:val="center"/>
              <w:rPr>
                <w:rFonts w:hint="eastAsia"/>
                <w:color w:val="auto"/>
                <w:highlight w:val="none"/>
                <w:lang w:val="en-US" w:eastAsia="zh-CN"/>
              </w:rPr>
            </w:pPr>
          </w:p>
        </w:tc>
        <w:tc>
          <w:tcPr>
            <w:tcW w:w="917" w:type="dxa"/>
            <w:vMerge w:val="continue"/>
            <w:vAlign w:val="center"/>
          </w:tcPr>
          <w:p>
            <w:pPr>
              <w:spacing w:after="0" w:line="240" w:lineRule="auto"/>
              <w:jc w:val="center"/>
              <w:rPr>
                <w:rFonts w:hint="eastAsia"/>
                <w:color w:val="auto"/>
                <w:highlight w:val="none"/>
                <w:vertAlign w:val="baseline"/>
                <w:lang w:val="en-US" w:eastAsia="zh-CN"/>
              </w:rPr>
            </w:pPr>
          </w:p>
        </w:tc>
        <w:tc>
          <w:tcPr>
            <w:tcW w:w="2116" w:type="dxa"/>
            <w:vAlign w:val="center"/>
          </w:tcPr>
          <w:p>
            <w:pPr>
              <w:spacing w:after="0" w:line="240" w:lineRule="auto"/>
              <w:jc w:val="center"/>
              <w:rPr>
                <w:rFonts w:hint="eastAsia"/>
                <w:color w:val="auto"/>
                <w:highlight w:val="none"/>
                <w:lang w:val="en-US" w:eastAsia="zh-CN"/>
              </w:rPr>
            </w:pPr>
            <w:r>
              <w:rPr>
                <w:rFonts w:hint="eastAsia"/>
                <w:color w:val="auto"/>
                <w:highlight w:val="none"/>
                <w:lang w:val="en-US" w:eastAsia="zh-CN"/>
              </w:rPr>
              <w:t>[1200ms, 1200ms]</w:t>
            </w:r>
          </w:p>
        </w:tc>
        <w:tc>
          <w:tcPr>
            <w:tcW w:w="1636" w:type="dxa"/>
            <w:shd w:val="clear" w:color="auto" w:fill="auto"/>
            <w:vAlign w:val="center"/>
          </w:tcPr>
          <w:p>
            <w:pPr>
              <w:spacing w:after="0" w:line="240" w:lineRule="auto"/>
              <w:jc w:val="center"/>
              <w:rPr>
                <w:rFonts w:hint="default"/>
                <w:color w:val="auto"/>
                <w:highlight w:val="none"/>
                <w:vertAlign w:val="baseline"/>
                <w:lang w:val="en-US" w:eastAsia="zh-CN"/>
              </w:rPr>
            </w:pPr>
            <w:r>
              <w:rPr>
                <w:rFonts w:hint="eastAsia"/>
                <w:color w:val="auto"/>
                <w:highlight w:val="none"/>
                <w:vertAlign w:val="baseline"/>
                <w:lang w:val="en-US" w:eastAsia="zh-CN"/>
              </w:rPr>
              <w:t>[0.74, 1.20, 1.79]</w:t>
            </w:r>
          </w:p>
        </w:tc>
        <w:tc>
          <w:tcPr>
            <w:tcW w:w="1604" w:type="dxa"/>
            <w:shd w:val="clear" w:color="auto" w:fill="auto"/>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[0.80，1.25，1.84]</w:t>
            </w:r>
          </w:p>
        </w:tc>
        <w:tc>
          <w:tcPr>
            <w:tcW w:w="1658" w:type="dxa"/>
            <w:shd w:val="clear" w:color="auto" w:fill="auto"/>
            <w:vAlign w:val="center"/>
          </w:tcPr>
          <w:p>
            <w:pPr>
              <w:spacing w:after="0" w:line="240" w:lineRule="auto"/>
              <w:jc w:val="center"/>
              <w:rPr>
                <w:rFonts w:hint="eastAsia"/>
                <w:color w:val="auto"/>
                <w:highlight w:val="none"/>
                <w:vertAlign w:val="baseline"/>
                <w:lang w:val="en-US" w:eastAsia="zh-CN"/>
              </w:rPr>
            </w:pPr>
            <w:r>
              <w:rPr>
                <w:rFonts w:hint="eastAsia"/>
                <w:color w:val="auto"/>
                <w:highlight w:val="none"/>
                <w:vertAlign w:val="baseline"/>
                <w:lang w:val="en-US" w:eastAsia="zh-CN"/>
              </w:rPr>
              <w:t>[0.94，1.36，1.96]</w:t>
            </w:r>
          </w:p>
        </w:tc>
      </w:tr>
    </w:tbl>
    <w:p>
      <w:pPr>
        <w:spacing w:after="157" w:afterLines="50"/>
        <w:rPr>
          <w:rFonts w:hint="eastAsia" w:eastAsia="宋体"/>
          <w:lang w:val="en-US" w:eastAsia="zh-CN"/>
        </w:rPr>
      </w:pPr>
      <w:r>
        <w:rPr>
          <w:rFonts w:hint="eastAsia" w:eastAsia="宋体"/>
          <w:lang w:val="en-US" w:eastAsia="zh-CN"/>
        </w:rPr>
        <w:t>We can observe that BB errors can affect the accuracy of predictions, and the larger the BB error, the greater the impact on prediction performance. So we can draw a preliminary conclusion that it is necessary to align with the actual scenario, and the impact of measurement errors should be considered in the simulation of RAN2.</w:t>
      </w:r>
    </w:p>
    <w:p>
      <w:pPr>
        <w:spacing w:after="157" w:afterLines="50"/>
        <w:rPr>
          <w:rFonts w:hint="default" w:eastAsia="宋体"/>
          <w:lang w:val="en-US" w:eastAsia="zh-CN"/>
        </w:rPr>
      </w:pPr>
      <w:r>
        <w:rPr>
          <w:rFonts w:hint="eastAsia" w:eastAsia="宋体"/>
          <w:b/>
          <w:bCs/>
          <w:lang w:val="en-US" w:eastAsia="zh-CN"/>
        </w:rPr>
        <w:t>Proposal 12: Measurement errors will affect the accuracy of predictions, and the larger the BB error, the greater the impact on prediction performance.</w:t>
      </w:r>
      <w:r>
        <w:rPr>
          <w:rFonts w:hint="eastAsia" w:eastAsia="宋体"/>
          <w:lang w:val="en-US" w:eastAsia="zh-CN"/>
        </w:rPr>
        <w:t xml:space="preserve"> </w:t>
      </w:r>
    </w:p>
    <w:p>
      <w:pPr>
        <w:rPr>
          <w:rFonts w:hint="default" w:eastAsia="Times New Roman"/>
          <w:b/>
          <w:bCs/>
          <w:color w:val="000000" w:themeColor="text1"/>
          <w:lang w:val="en-US" w:eastAsia="zh-CN"/>
          <w14:textFill>
            <w14:solidFill>
              <w14:schemeClr w14:val="tx1"/>
            </w14:solidFill>
          </w14:textFill>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beforeLines="0" w:after="157" w:afterLines="50"/>
        <w:rPr>
          <w:rFonts w:hint="default"/>
          <w:b/>
          <w:bCs/>
          <w:iCs/>
          <w:lang w:val="en-US" w:eastAsia="zh-CN"/>
        </w:rPr>
      </w:pPr>
      <w:r>
        <w:rPr>
          <w:rFonts w:hint="eastAsia"/>
          <w:b/>
          <w:bCs/>
          <w:iCs/>
          <w:lang w:val="en-US" w:eastAsia="zh-CN"/>
        </w:rPr>
        <w:t xml:space="preserve">Proposal 1: RAN4 should discuss the RRM impact on indirect measurement event prediction and direct measurement event prediction. </w:t>
      </w:r>
    </w:p>
    <w:p>
      <w:pPr>
        <w:spacing w:beforeLines="0" w:after="157" w:afterLines="50"/>
        <w:rPr>
          <w:rFonts w:hint="eastAsia"/>
          <w:iCs/>
          <w:lang w:val="en-US" w:eastAsia="zh-CN"/>
        </w:rPr>
      </w:pPr>
      <w:r>
        <w:rPr>
          <w:rFonts w:hint="eastAsia"/>
          <w:b/>
          <w:bCs/>
          <w:iCs/>
          <w:lang w:val="en-US" w:eastAsia="zh-CN"/>
        </w:rPr>
        <w:t>Proposal 2: Measurement error should be considered into measurement event prediction, which is similar as RRM measurement prediction.</w:t>
      </w:r>
    </w:p>
    <w:p>
      <w:pPr>
        <w:spacing w:after="157" w:afterLines="50"/>
        <w:rPr>
          <w:rFonts w:hint="eastAsia"/>
          <w:b w:val="0"/>
          <w:bCs w:val="0"/>
          <w:color w:val="000000" w:themeColor="text1"/>
          <w:lang w:val="en-US" w:eastAsia="zh-CN"/>
          <w14:textFill>
            <w14:solidFill>
              <w14:schemeClr w14:val="tx1"/>
            </w14:solidFill>
          </w14:textFill>
        </w:rPr>
      </w:pPr>
      <w:r>
        <w:rPr>
          <w:rFonts w:hint="eastAsia" w:eastAsia="宋体"/>
          <w:b/>
          <w:bCs/>
          <w:lang w:val="en-US" w:eastAsia="zh-CN"/>
        </w:rPr>
        <w:t>Proposal 3: RAN4 should consider both serving cell and neighbor cell measurment prediction for intra-cell prediction. Specifically, serving cell (input) to predict the serving cell (output) and neigbour cell i (input) to predict the neigbour cell i (output).</w:t>
      </w:r>
    </w:p>
    <w:p>
      <w:pPr>
        <w:pStyle w:val="57"/>
        <w:spacing w:before="0" w:beforeLines="0" w:after="157" w:afterLines="50"/>
        <w:ind w:left="0" w:firstLine="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4: Due to L1-RSRP is for beam management, it</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s fine for us not to consider point A1 in AI Mob. </w:t>
      </w:r>
    </w:p>
    <w:p>
      <w:pPr>
        <w:pStyle w:val="57"/>
        <w:spacing w:before="0" w:beforeLines="0" w:after="157" w:afterLines="50"/>
        <w:ind w:left="0" w:firstLine="0"/>
        <w:rPr>
          <w:rFonts w:hint="eastAsia"/>
          <w:b/>
          <w:bCs/>
          <w:szCs w:val="20"/>
          <w:lang w:val="en-US" w:eastAsia="zh-CN"/>
        </w:rPr>
      </w:pPr>
      <w:r>
        <w:rPr>
          <w:rFonts w:hint="eastAsia"/>
          <w:b/>
          <w:bCs/>
          <w:szCs w:val="20"/>
          <w:lang w:val="en-US" w:eastAsia="zh-CN"/>
        </w:rPr>
        <w:t>Observation1: Both cell level measurement prediction and beam level measurement prediction are within the scope of RRM measurement prediction. And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Lines="0" w:after="157" w:afterLines="50"/>
        <w:ind w:left="0" w:firstLine="0"/>
        <w:rPr>
          <w:rFonts w:hint="eastAsia" w:eastAsia="宋体"/>
          <w:b/>
          <w:bCs/>
          <w:lang w:val="en-US" w:eastAsia="zh-CN"/>
        </w:rPr>
      </w:pPr>
      <w:r>
        <w:rPr>
          <w:rFonts w:hint="eastAsia" w:eastAsia="宋体"/>
          <w:b/>
          <w:bCs/>
          <w:lang w:val="en-US" w:eastAsia="zh-CN"/>
        </w:rPr>
        <w:t>Proposal 5：RAN4 to deprioritize studying the impacts on requirements for L3 beam-level prediction.</w:t>
      </w:r>
    </w:p>
    <w:p>
      <w:pPr>
        <w:pStyle w:val="57"/>
        <w:spacing w:beforeLines="0" w:after="157" w:afterLines="50"/>
        <w:ind w:left="0" w:firstLine="0"/>
        <w:rPr>
          <w:rFonts w:hint="eastAsia" w:eastAsia="宋体"/>
          <w:b/>
          <w:bCs/>
          <w:lang w:val="en-US" w:eastAsia="zh-CN"/>
        </w:rPr>
      </w:pPr>
      <w:r>
        <w:rPr>
          <w:rFonts w:hint="eastAsia" w:eastAsia="宋体"/>
          <w:b/>
          <w:bCs/>
          <w:lang w:val="en-US" w:eastAsia="zh-CN"/>
        </w:rPr>
        <w:t xml:space="preserve">Proposal 6: If </w:t>
      </w:r>
      <w:r>
        <w:rPr>
          <w:rFonts w:hint="eastAsia"/>
          <w:b/>
          <w:bCs/>
        </w:rPr>
        <w:t>L3 filtered beam level prediction cases are lower priority</w:t>
      </w:r>
      <w:r>
        <w:rPr>
          <w:rFonts w:hint="eastAsia" w:eastAsia="宋体"/>
          <w:b/>
          <w:bCs/>
          <w:lang w:val="en-US" w:eastAsia="zh-CN"/>
        </w:rPr>
        <w:t>, the definition of prediction accuracy for point E will correspondingly be given low priority.</w:t>
      </w:r>
    </w:p>
    <w:p>
      <w:pPr>
        <w:pStyle w:val="57"/>
        <w:spacing w:beforeLines="0" w:after="157" w:afterLines="50"/>
        <w:ind w:left="0" w:firstLine="0"/>
        <w:rPr>
          <w:rFonts w:hint="eastAsia" w:eastAsia="宋体"/>
          <w:b/>
          <w:bCs/>
          <w:color w:val="auto"/>
          <w:lang w:val="en-US" w:eastAsia="zh-CN"/>
        </w:rPr>
      </w:pPr>
      <w:r>
        <w:rPr>
          <w:rFonts w:hint="eastAsia" w:eastAsia="宋体"/>
          <w:b/>
          <w:bCs/>
          <w:color w:val="auto"/>
          <w:lang w:val="en-US" w:eastAsia="zh-CN"/>
        </w:rPr>
        <w:t>Proposal 7: For FR1, the transmitted power can be used as baseline for the definition on ground truth of L3-RSRP, which is obtained as the legacy way of conducted test.</w:t>
      </w:r>
    </w:p>
    <w:p>
      <w:pPr>
        <w:pStyle w:val="57"/>
        <w:spacing w:beforeLines="0" w:after="157" w:afterLines="50"/>
        <w:ind w:left="0" w:firstLine="0"/>
        <w:rPr>
          <w:rFonts w:hint="eastAsia" w:eastAsia="宋体"/>
          <w:b/>
          <w:bCs/>
          <w:lang w:val="en-US" w:eastAsia="zh-CN"/>
        </w:rPr>
      </w:pPr>
      <w:r>
        <w:rPr>
          <w:rFonts w:hint="eastAsia" w:eastAsia="宋体"/>
          <w:b/>
          <w:bCs/>
          <w:color w:val="auto"/>
          <w:lang w:val="en-US" w:eastAsia="zh-CN"/>
        </w:rPr>
        <w:t>Proposal 8: For FR2, the definiation of ground truth on R19 AI BM can be reused, that is, ground truth of L3-RSRP is the approximate as the reported RSRP measurement under a certain SNR (the SNR is high enough for sufficient accuracy of reported RSRP).</w:t>
      </w:r>
    </w:p>
    <w:p>
      <w:pPr>
        <w:pStyle w:val="57"/>
        <w:spacing w:before="0" w:beforeLines="0" w:after="157" w:afterLines="50"/>
        <w:ind w:left="0" w:firstLine="0"/>
        <w:rPr>
          <w:rFonts w:hint="eastAsia" w:eastAsia="宋体"/>
          <w:b/>
          <w:bCs/>
          <w:lang w:val="en-US" w:eastAsia="zh-CN"/>
        </w:rPr>
      </w:pPr>
      <w:r>
        <w:rPr>
          <w:rFonts w:hint="eastAsia" w:eastAsia="宋体"/>
          <w:b/>
          <w:bCs/>
          <w:lang w:val="en-US" w:eastAsia="zh-CN"/>
        </w:rPr>
        <w:t xml:space="preserve">Proposal 9: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spacing w:after="157" w:afterLines="50"/>
        <w:rPr>
          <w:rFonts w:hint="default" w:eastAsia="宋体"/>
          <w:b/>
          <w:bCs/>
          <w:lang w:val="en-US" w:eastAsia="zh-CN"/>
        </w:rPr>
      </w:pPr>
      <w:r>
        <w:rPr>
          <w:rFonts w:hint="eastAsia" w:eastAsia="宋体"/>
          <w:b/>
          <w:bCs/>
          <w:lang w:val="en-US" w:eastAsia="zh-CN"/>
        </w:rPr>
        <w:t>Observation 2: Compared with legacy measurement delay requirements, number of actual measured samples and frequency layers are different, which will impact measurement requirements.</w:t>
      </w:r>
    </w:p>
    <w:p>
      <w:pPr>
        <w:spacing w:after="157" w:afterLines="50"/>
        <w:rPr>
          <w:rFonts w:eastAsia="Yu Mincho"/>
        </w:rPr>
      </w:pPr>
      <w:r>
        <w:rPr>
          <w:rFonts w:hint="eastAsia" w:eastAsia="宋体"/>
          <w:b/>
          <w:bCs/>
          <w:lang w:val="en-US" w:eastAsia="zh-CN"/>
        </w:rPr>
        <w:t>Proposal 10: RAN4 should discuss whether/how to update measurement delay requirements for AI/ML mobility.</w:t>
      </w:r>
    </w:p>
    <w:p>
      <w:pPr>
        <w:spacing w:after="157" w:afterLines="50"/>
        <w:rPr>
          <w:rFonts w:hint="eastAsia" w:eastAsia="宋体"/>
          <w:lang w:val="en-US" w:eastAsia="zh-CN"/>
        </w:rPr>
      </w:pPr>
      <w:r>
        <w:rPr>
          <w:rFonts w:hint="eastAsia" w:eastAsia="宋体"/>
          <w:b/>
          <w:bCs/>
          <w:lang w:val="en-US" w:eastAsia="zh-CN"/>
        </w:rPr>
        <w:t xml:space="preserve">Proposal 11: </w:t>
      </w:r>
      <w:r>
        <w:rPr>
          <w:b/>
          <w:bCs/>
        </w:rPr>
        <w:t>The methodology</w:t>
      </w:r>
      <w:r>
        <w:rPr>
          <w:rFonts w:hint="eastAsia" w:eastAsia="宋体"/>
          <w:b/>
          <w:bCs/>
          <w:lang w:val="en-US" w:eastAsia="zh-CN"/>
        </w:rPr>
        <w:t xml:space="preserve"> of adding measurement error to AI mob</w:t>
      </w:r>
      <w:r>
        <w:rPr>
          <w:b/>
          <w:bCs/>
        </w:rPr>
        <w:t xml:space="preserve"> sh</w:t>
      </w:r>
      <w:r>
        <w:rPr>
          <w:rFonts w:hint="eastAsia" w:eastAsia="宋体"/>
          <w:b/>
          <w:bCs/>
          <w:lang w:val="en-US" w:eastAsia="zh-CN"/>
        </w:rPr>
        <w:t>ould</w:t>
      </w:r>
      <w:r>
        <w:rPr>
          <w:b/>
          <w:bCs/>
        </w:rPr>
        <w:t xml:space="preserve"> be similar to</w:t>
      </w:r>
      <w:r>
        <w:rPr>
          <w:rFonts w:hint="eastAsia" w:eastAsia="宋体"/>
          <w:b/>
          <w:bCs/>
          <w:lang w:val="en-US" w:eastAsia="zh-CN"/>
        </w:rPr>
        <w:t xml:space="preserve"> AI BM</w:t>
      </w:r>
      <w:r>
        <w:rPr>
          <w:b/>
          <w:bCs/>
        </w:rPr>
        <w:t>.</w:t>
      </w:r>
      <w:r>
        <w:rPr>
          <w:rFonts w:hint="eastAsia" w:eastAsia="宋体"/>
          <w:b/>
          <w:bCs/>
          <w:lang w:val="en-US" w:eastAsia="zh-CN"/>
        </w:rPr>
        <w:t xml:space="preserve"> To avoid redundant discussions, the simulation results of AI BM in RAN4 should be utilized as much as possible.</w:t>
      </w:r>
    </w:p>
    <w:p>
      <w:pPr>
        <w:spacing w:after="157" w:afterLines="50"/>
        <w:rPr>
          <w:rFonts w:hint="eastAsia" w:eastAsia="宋体" w:cs="Times New Roman"/>
          <w:b/>
          <w:bCs/>
          <w:color w:val="auto"/>
          <w:sz w:val="20"/>
          <w:szCs w:val="20"/>
          <w:highlight w:val="none"/>
          <w:lang w:val="en-GB" w:eastAsia="zh-CN" w:bidi="ar-SA"/>
        </w:rPr>
      </w:pPr>
      <w:r>
        <w:rPr>
          <w:rFonts w:hint="eastAsia" w:eastAsia="宋体"/>
          <w:b/>
          <w:bCs/>
          <w:lang w:val="en-US" w:eastAsia="zh-CN"/>
        </w:rPr>
        <w:t>Proposal 12: Measurement errors will affect the accuracy of predictions, and the larger the BB error, the greater the impact on prediction performance.</w:t>
      </w:r>
      <w:r>
        <w:rPr>
          <w:rFonts w:hint="eastAsia" w:eastAsia="宋体"/>
          <w:lang w:val="en-US" w:eastAsia="zh-CN"/>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R4-2420095</w:t>
      </w:r>
      <w:r>
        <w:rPr>
          <w:rFonts w:hint="eastAsia"/>
          <w:lang w:val="en-US" w:eastAsia="zh-CN"/>
        </w:rPr>
        <w:fldChar w:fldCharType="end"/>
      </w:r>
      <w:r>
        <w:rPr>
          <w:rFonts w:hint="eastAsia"/>
          <w:lang w:val="en-US" w:eastAsia="zh-CN"/>
        </w:rPr>
        <w:t>, WF on RRM requirements for FS_NR_AIML_Mob, Nokia</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R4-2416855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3EF5C42"/>
    <w:multiLevelType w:val="singleLevel"/>
    <w:tmpl w:val="33EF5C42"/>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1671C"/>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15</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2025-02-07T08:41:20Z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70469FC850AA429E82429F1F5575AFFF</vt:lpwstr>
  </property>
</Properties>
</file>